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48" w:type="pct"/>
        <w:tblCellMar>
          <w:left w:w="0" w:type="dxa"/>
          <w:right w:w="0" w:type="dxa"/>
        </w:tblCellMar>
        <w:tblLook w:val="0000" w:firstRow="0" w:lastRow="0" w:firstColumn="0" w:lastColumn="0" w:noHBand="0" w:noVBand="0"/>
      </w:tblPr>
      <w:tblGrid>
        <w:gridCol w:w="5103"/>
        <w:gridCol w:w="4962"/>
      </w:tblGrid>
      <w:tr w:rsidR="009F656B" w:rsidRPr="00A06A4C" w14:paraId="0ECCEB31" w14:textId="77777777" w:rsidTr="002D77DB">
        <w:trPr>
          <w:trHeight w:val="2897"/>
        </w:trPr>
        <w:tc>
          <w:tcPr>
            <w:tcW w:w="2535" w:type="pct"/>
          </w:tcPr>
          <w:p w14:paraId="0CB02C04" w14:textId="77777777" w:rsidR="002D77DB" w:rsidRPr="00C808B5" w:rsidRDefault="002D77DB" w:rsidP="003D237E">
            <w:pPr>
              <w:pStyle w:val="a3"/>
              <w:ind w:left="318"/>
              <w:rPr>
                <w:rFonts w:ascii="Times New Roman" w:hAnsi="Times New Roman"/>
                <w:szCs w:val="28"/>
              </w:rPr>
            </w:pPr>
          </w:p>
        </w:tc>
        <w:tc>
          <w:tcPr>
            <w:tcW w:w="2465" w:type="pct"/>
          </w:tcPr>
          <w:p w14:paraId="5D954CF9" w14:textId="77777777" w:rsidR="002D77DB" w:rsidRPr="00A06A4C" w:rsidRDefault="00E164C3" w:rsidP="002D77DB">
            <w:pPr>
              <w:widowControl w:val="0"/>
              <w:ind w:left="151"/>
              <w:rPr>
                <w:snapToGrid w:val="0"/>
                <w:sz w:val="28"/>
                <w:szCs w:val="28"/>
              </w:rPr>
            </w:pPr>
            <w:r w:rsidRPr="00A06A4C">
              <w:rPr>
                <w:snapToGrid w:val="0"/>
                <w:sz w:val="28"/>
                <w:szCs w:val="28"/>
                <w:lang w:val="kk"/>
              </w:rPr>
              <w:t xml:space="preserve">«Қазақстан Республикасы   </w:t>
            </w:r>
          </w:p>
          <w:p w14:paraId="43B6DD26" w14:textId="77777777" w:rsidR="002D77DB" w:rsidRPr="00A06A4C" w:rsidRDefault="00E164C3" w:rsidP="002D77DB">
            <w:pPr>
              <w:autoSpaceDE w:val="0"/>
              <w:autoSpaceDN w:val="0"/>
              <w:ind w:left="151"/>
              <w:rPr>
                <w:sz w:val="28"/>
                <w:szCs w:val="28"/>
              </w:rPr>
            </w:pPr>
            <w:r w:rsidRPr="00A06A4C">
              <w:rPr>
                <w:sz w:val="28"/>
                <w:szCs w:val="28"/>
                <w:lang w:val="kk"/>
              </w:rPr>
              <w:t xml:space="preserve">Денсаулық сақтау министрлігі   </w:t>
            </w:r>
          </w:p>
          <w:p w14:paraId="594EDBD6" w14:textId="77777777" w:rsidR="002D77DB" w:rsidRPr="00A06A4C" w:rsidRDefault="00E164C3" w:rsidP="002D77DB">
            <w:pPr>
              <w:autoSpaceDE w:val="0"/>
              <w:autoSpaceDN w:val="0"/>
              <w:ind w:left="151"/>
              <w:rPr>
                <w:sz w:val="28"/>
                <w:szCs w:val="28"/>
              </w:rPr>
            </w:pPr>
            <w:r w:rsidRPr="00A06A4C">
              <w:rPr>
                <w:sz w:val="28"/>
                <w:szCs w:val="28"/>
                <w:lang w:val="kk"/>
              </w:rPr>
              <w:t>Медициналық және фармацевтикалық</w:t>
            </w:r>
          </w:p>
          <w:p w14:paraId="41548333" w14:textId="77777777" w:rsidR="002D77DB" w:rsidRPr="00A06A4C" w:rsidRDefault="0070655A" w:rsidP="0070655A">
            <w:pPr>
              <w:keepNext/>
              <w:autoSpaceDE w:val="0"/>
              <w:autoSpaceDN w:val="0"/>
              <w:ind w:left="151"/>
              <w:outlineLvl w:val="2"/>
              <w:rPr>
                <w:bCs/>
                <w:sz w:val="28"/>
                <w:szCs w:val="28"/>
              </w:rPr>
            </w:pPr>
            <w:r w:rsidRPr="00A06A4C">
              <w:rPr>
                <w:bCs/>
                <w:sz w:val="28"/>
                <w:szCs w:val="28"/>
                <w:lang w:val="kk-KZ"/>
              </w:rPr>
              <w:t>б</w:t>
            </w:r>
            <w:r w:rsidR="00E164C3" w:rsidRPr="00A06A4C">
              <w:rPr>
                <w:bCs/>
                <w:sz w:val="28"/>
                <w:szCs w:val="28"/>
                <w:lang w:val="kk"/>
              </w:rPr>
              <w:t>ақылау</w:t>
            </w:r>
            <w:r w:rsidRPr="00A06A4C">
              <w:rPr>
                <w:bCs/>
                <w:sz w:val="28"/>
                <w:szCs w:val="28"/>
                <w:lang w:val="kk-KZ"/>
              </w:rPr>
              <w:t xml:space="preserve"> к</w:t>
            </w:r>
            <w:r w:rsidR="00E164C3" w:rsidRPr="00A06A4C">
              <w:rPr>
                <w:bCs/>
                <w:sz w:val="28"/>
                <w:szCs w:val="28"/>
                <w:lang w:val="kk"/>
              </w:rPr>
              <w:t xml:space="preserve">омитеті» РММ төрағасының </w:t>
            </w:r>
          </w:p>
          <w:p w14:paraId="623A08ED" w14:textId="0ABEACB0" w:rsidR="002D77DB" w:rsidRPr="00A06A4C" w:rsidRDefault="00E164C3" w:rsidP="002D77DB">
            <w:pPr>
              <w:autoSpaceDE w:val="0"/>
              <w:autoSpaceDN w:val="0"/>
              <w:ind w:left="151"/>
              <w:rPr>
                <w:sz w:val="28"/>
                <w:szCs w:val="28"/>
              </w:rPr>
            </w:pPr>
            <w:r w:rsidRPr="00A06A4C">
              <w:rPr>
                <w:sz w:val="28"/>
                <w:szCs w:val="28"/>
                <w:lang w:val="kk"/>
              </w:rPr>
              <w:t>20</w:t>
            </w:r>
            <w:r w:rsidR="00CC7F4E" w:rsidRPr="00CC7F4E">
              <w:rPr>
                <w:sz w:val="28"/>
                <w:szCs w:val="28"/>
              </w:rPr>
              <w:t>25</w:t>
            </w:r>
            <w:r w:rsidRPr="00A06A4C">
              <w:rPr>
                <w:sz w:val="28"/>
                <w:szCs w:val="28"/>
                <w:lang w:val="kk"/>
              </w:rPr>
              <w:t>   ж. «</w:t>
            </w:r>
            <w:r w:rsidR="00CC7F4E" w:rsidRPr="00CC7F4E">
              <w:rPr>
                <w:sz w:val="28"/>
                <w:szCs w:val="28"/>
              </w:rPr>
              <w:t>08</w:t>
            </w:r>
            <w:r w:rsidRPr="00A06A4C">
              <w:rPr>
                <w:sz w:val="28"/>
                <w:szCs w:val="28"/>
                <w:lang w:val="kk"/>
              </w:rPr>
              <w:t xml:space="preserve">» </w:t>
            </w:r>
            <w:r w:rsidR="00CC7F4E">
              <w:rPr>
                <w:sz w:val="28"/>
                <w:szCs w:val="28"/>
                <w:lang w:val="en-US"/>
              </w:rPr>
              <w:t>05</w:t>
            </w:r>
            <w:r w:rsidRPr="00A06A4C">
              <w:rPr>
                <w:sz w:val="28"/>
                <w:szCs w:val="28"/>
                <w:lang w:val="kk"/>
              </w:rPr>
              <w:t xml:space="preserve">  </w:t>
            </w:r>
          </w:p>
          <w:p w14:paraId="67755E49" w14:textId="23E8DB6A" w:rsidR="0070655A" w:rsidRPr="00A06A4C" w:rsidRDefault="00E164C3" w:rsidP="002D77DB">
            <w:pPr>
              <w:pStyle w:val="a3"/>
              <w:ind w:left="151"/>
              <w:rPr>
                <w:rFonts w:ascii="Times New Roman" w:hAnsi="Times New Roman"/>
                <w:snapToGrid w:val="0"/>
                <w:szCs w:val="28"/>
                <w:lang w:val="kk-KZ"/>
              </w:rPr>
            </w:pPr>
            <w:r w:rsidRPr="00A06A4C">
              <w:rPr>
                <w:rFonts w:ascii="Times New Roman" w:hAnsi="Times New Roman"/>
                <w:snapToGrid w:val="0"/>
                <w:szCs w:val="28"/>
                <w:lang w:val="kk"/>
              </w:rPr>
              <w:t>№</w:t>
            </w:r>
            <w:r w:rsidR="00CC7F4E">
              <w:rPr>
                <w:rFonts w:ascii="Times New Roman" w:hAnsi="Times New Roman"/>
                <w:snapToGrid w:val="0"/>
                <w:szCs w:val="28"/>
                <w:lang w:val="en-US"/>
              </w:rPr>
              <w:t>N085734</w:t>
            </w:r>
            <w:r w:rsidRPr="00A06A4C">
              <w:rPr>
                <w:rFonts w:ascii="Times New Roman" w:hAnsi="Times New Roman"/>
                <w:snapToGrid w:val="0"/>
                <w:szCs w:val="28"/>
                <w:lang w:val="kk"/>
              </w:rPr>
              <w:t xml:space="preserve"> бұйрығымен  </w:t>
            </w:r>
          </w:p>
          <w:p w14:paraId="1CAF0FD5" w14:textId="77777777" w:rsidR="002D77DB" w:rsidRPr="00A06A4C" w:rsidRDefault="00E164C3" w:rsidP="002D77DB">
            <w:pPr>
              <w:pStyle w:val="a3"/>
              <w:ind w:left="151"/>
              <w:rPr>
                <w:rFonts w:ascii="Times New Roman" w:hAnsi="Times New Roman"/>
                <w:b/>
                <w:snapToGrid w:val="0"/>
                <w:szCs w:val="28"/>
              </w:rPr>
            </w:pPr>
            <w:r w:rsidRPr="00A06A4C">
              <w:rPr>
                <w:rFonts w:ascii="Times New Roman" w:hAnsi="Times New Roman"/>
                <w:b/>
                <w:snapToGrid w:val="0"/>
                <w:szCs w:val="28"/>
                <w:lang w:val="kk"/>
              </w:rPr>
              <w:t>БЕКІТІЛГЕН</w:t>
            </w:r>
          </w:p>
          <w:p w14:paraId="02FF14C8" w14:textId="77777777" w:rsidR="002D77DB" w:rsidRPr="00A06A4C" w:rsidRDefault="002D77DB" w:rsidP="00C82B05">
            <w:pPr>
              <w:pStyle w:val="a3"/>
              <w:ind w:left="318"/>
              <w:rPr>
                <w:rFonts w:ascii="Times New Roman" w:hAnsi="Times New Roman"/>
                <w:szCs w:val="28"/>
              </w:rPr>
            </w:pPr>
          </w:p>
        </w:tc>
      </w:tr>
    </w:tbl>
    <w:p w14:paraId="6667628F" w14:textId="77777777" w:rsidR="002D77DB" w:rsidRPr="00A06A4C" w:rsidRDefault="002D77DB" w:rsidP="00FA50CE">
      <w:pPr>
        <w:ind w:left="318"/>
        <w:jc w:val="center"/>
        <w:rPr>
          <w:b/>
          <w:sz w:val="28"/>
          <w:szCs w:val="28"/>
        </w:rPr>
      </w:pPr>
    </w:p>
    <w:p w14:paraId="273CFBCA" w14:textId="77777777" w:rsidR="00FA50CE" w:rsidRPr="00A06A4C" w:rsidRDefault="00E164C3" w:rsidP="00FA50CE">
      <w:pPr>
        <w:ind w:left="318"/>
        <w:jc w:val="center"/>
        <w:rPr>
          <w:b/>
          <w:sz w:val="28"/>
          <w:szCs w:val="28"/>
        </w:rPr>
      </w:pPr>
      <w:r w:rsidRPr="00A06A4C">
        <w:rPr>
          <w:b/>
          <w:sz w:val="28"/>
          <w:szCs w:val="28"/>
          <w:lang w:val="kk"/>
        </w:rPr>
        <w:t>Дәрілік препаратты медициналық қолдану</w:t>
      </w:r>
    </w:p>
    <w:p w14:paraId="6994472D" w14:textId="77777777" w:rsidR="00A1662D" w:rsidRPr="00A06A4C" w:rsidRDefault="00E164C3" w:rsidP="0096335C">
      <w:pPr>
        <w:ind w:left="318"/>
        <w:jc w:val="center"/>
        <w:rPr>
          <w:b/>
          <w:sz w:val="28"/>
          <w:szCs w:val="28"/>
        </w:rPr>
      </w:pPr>
      <w:r w:rsidRPr="00A06A4C">
        <w:rPr>
          <w:b/>
          <w:sz w:val="28"/>
          <w:szCs w:val="28"/>
          <w:lang w:val="kk"/>
        </w:rPr>
        <w:t>жөніндегі нұсқаулық (Қосымша парақ)</w:t>
      </w:r>
    </w:p>
    <w:p w14:paraId="787B7E88" w14:textId="77777777" w:rsidR="00FA50CE" w:rsidRPr="00A06A4C" w:rsidRDefault="00FA50CE" w:rsidP="00FA50CE">
      <w:pPr>
        <w:ind w:left="318"/>
        <w:jc w:val="center"/>
        <w:rPr>
          <w:b/>
          <w:sz w:val="28"/>
          <w:szCs w:val="28"/>
        </w:rPr>
      </w:pPr>
    </w:p>
    <w:p w14:paraId="34B22AE8" w14:textId="77777777" w:rsidR="00A1662D" w:rsidRPr="00A06A4C" w:rsidRDefault="00E164C3" w:rsidP="00D80AD5">
      <w:pPr>
        <w:shd w:val="clear" w:color="auto" w:fill="FFFFFF"/>
        <w:spacing w:line="269" w:lineRule="exact"/>
        <w:ind w:right="53"/>
        <w:jc w:val="both"/>
        <w:rPr>
          <w:b/>
          <w:bCs/>
          <w:color w:val="000000"/>
          <w:spacing w:val="-13"/>
          <w:sz w:val="28"/>
          <w:szCs w:val="28"/>
        </w:rPr>
      </w:pPr>
      <w:r w:rsidRPr="00A06A4C">
        <w:rPr>
          <w:b/>
          <w:bCs/>
          <w:color w:val="000000"/>
          <w:spacing w:val="-13"/>
          <w:sz w:val="28"/>
          <w:szCs w:val="28"/>
          <w:lang w:val="kk"/>
        </w:rPr>
        <w:t>Саудалық атауы</w:t>
      </w:r>
    </w:p>
    <w:p w14:paraId="3224D7BB" w14:textId="77777777" w:rsidR="00D160E9" w:rsidRPr="00A06A4C" w:rsidRDefault="00E164C3" w:rsidP="00D80AD5">
      <w:pPr>
        <w:shd w:val="clear" w:color="auto" w:fill="FFFFFF"/>
        <w:spacing w:line="269" w:lineRule="exact"/>
        <w:ind w:right="53"/>
        <w:jc w:val="both"/>
        <w:rPr>
          <w:bCs/>
          <w:color w:val="000000"/>
          <w:spacing w:val="-13"/>
          <w:sz w:val="28"/>
          <w:szCs w:val="28"/>
        </w:rPr>
      </w:pPr>
      <w:r w:rsidRPr="00A06A4C">
        <w:rPr>
          <w:bCs/>
          <w:color w:val="000000"/>
          <w:spacing w:val="-13"/>
          <w:sz w:val="28"/>
          <w:szCs w:val="28"/>
          <w:lang w:val="kk"/>
        </w:rPr>
        <w:t>Катенокс</w:t>
      </w:r>
    </w:p>
    <w:p w14:paraId="4A74E56B" w14:textId="77777777" w:rsidR="00A1662D" w:rsidRPr="00A06A4C" w:rsidRDefault="00A1662D" w:rsidP="00D80AD5">
      <w:pPr>
        <w:rPr>
          <w:sz w:val="28"/>
          <w:szCs w:val="28"/>
        </w:rPr>
      </w:pPr>
    </w:p>
    <w:p w14:paraId="01921477" w14:textId="77777777" w:rsidR="00872A55" w:rsidRPr="00A06A4C" w:rsidRDefault="00E164C3" w:rsidP="00D80AD5">
      <w:pPr>
        <w:shd w:val="clear" w:color="auto" w:fill="FFFFFF"/>
        <w:spacing w:line="269" w:lineRule="exact"/>
        <w:ind w:right="53"/>
        <w:jc w:val="both"/>
        <w:rPr>
          <w:b/>
          <w:bCs/>
          <w:color w:val="000000"/>
          <w:spacing w:val="-13"/>
          <w:sz w:val="28"/>
          <w:szCs w:val="28"/>
        </w:rPr>
      </w:pPr>
      <w:r w:rsidRPr="00A06A4C">
        <w:rPr>
          <w:b/>
          <w:bCs/>
          <w:color w:val="000000"/>
          <w:spacing w:val="-13"/>
          <w:sz w:val="28"/>
          <w:szCs w:val="28"/>
          <w:lang w:val="kk"/>
        </w:rPr>
        <w:t>Халықаралық патенттелмеген атауы</w:t>
      </w:r>
    </w:p>
    <w:p w14:paraId="5C27BD7F" w14:textId="77777777" w:rsidR="00872A55" w:rsidRPr="00A06A4C" w:rsidRDefault="00E164C3" w:rsidP="00D80AD5">
      <w:pPr>
        <w:shd w:val="clear" w:color="auto" w:fill="FFFFFF"/>
        <w:spacing w:line="269" w:lineRule="exact"/>
        <w:ind w:right="53"/>
        <w:jc w:val="both"/>
        <w:rPr>
          <w:bCs/>
          <w:color w:val="000000"/>
          <w:spacing w:val="-13"/>
          <w:sz w:val="28"/>
          <w:szCs w:val="28"/>
        </w:rPr>
      </w:pPr>
      <w:r w:rsidRPr="00A06A4C">
        <w:rPr>
          <w:bCs/>
          <w:color w:val="000000"/>
          <w:spacing w:val="-13"/>
          <w:sz w:val="28"/>
          <w:szCs w:val="28"/>
          <w:lang w:val="kk"/>
        </w:rPr>
        <w:t>Натрий эноксапарині</w:t>
      </w:r>
    </w:p>
    <w:p w14:paraId="7B9D87AD" w14:textId="77777777" w:rsidR="00F6249D" w:rsidRPr="00A06A4C" w:rsidRDefault="00F6249D" w:rsidP="00D80AD5">
      <w:pPr>
        <w:shd w:val="clear" w:color="auto" w:fill="FFFFFF"/>
        <w:spacing w:line="269" w:lineRule="exact"/>
        <w:ind w:right="53"/>
        <w:jc w:val="both"/>
        <w:rPr>
          <w:b/>
          <w:bCs/>
          <w:color w:val="000000"/>
          <w:spacing w:val="-13"/>
          <w:sz w:val="28"/>
          <w:szCs w:val="28"/>
        </w:rPr>
      </w:pPr>
    </w:p>
    <w:p w14:paraId="656AFBA5" w14:textId="77777777" w:rsidR="00872A55" w:rsidRPr="00A06A4C" w:rsidRDefault="00E164C3" w:rsidP="00D80AD5">
      <w:pPr>
        <w:tabs>
          <w:tab w:val="left" w:pos="4005"/>
        </w:tabs>
        <w:rPr>
          <w:b/>
          <w:sz w:val="28"/>
          <w:szCs w:val="28"/>
        </w:rPr>
      </w:pPr>
      <w:r w:rsidRPr="00A06A4C">
        <w:rPr>
          <w:b/>
          <w:sz w:val="28"/>
          <w:szCs w:val="28"/>
          <w:lang w:val="kk"/>
        </w:rPr>
        <w:t>Дәрілік түрі</w:t>
      </w:r>
      <w:r w:rsidRPr="00A06A4C">
        <w:rPr>
          <w:b/>
          <w:sz w:val="28"/>
          <w:szCs w:val="28"/>
          <w:lang w:val="kk"/>
        </w:rPr>
        <w:tab/>
      </w:r>
    </w:p>
    <w:p w14:paraId="5444D643" w14:textId="77777777" w:rsidR="00D42C3C" w:rsidRPr="00A06A4C" w:rsidRDefault="00E164C3" w:rsidP="008523EA">
      <w:pPr>
        <w:jc w:val="both"/>
        <w:rPr>
          <w:sz w:val="28"/>
          <w:szCs w:val="28"/>
          <w:lang w:eastAsia="en-US"/>
        </w:rPr>
      </w:pPr>
      <w:r w:rsidRPr="00A06A4C">
        <w:rPr>
          <w:sz w:val="28"/>
          <w:szCs w:val="28"/>
          <w:lang w:val="kk" w:eastAsia="en-US"/>
        </w:rPr>
        <w:t>Инъекцияға арналған 2000 анти-Ха ХБ/0.2 мл, 4000 анти-Ха ХБ/0.4 мл</w:t>
      </w:r>
      <w:r w:rsidR="008523EA">
        <w:rPr>
          <w:sz w:val="28"/>
          <w:szCs w:val="28"/>
          <w:lang w:val="kk" w:eastAsia="en-US"/>
        </w:rPr>
        <w:t xml:space="preserve"> </w:t>
      </w:r>
      <w:r w:rsidRPr="00A06A4C">
        <w:rPr>
          <w:sz w:val="28"/>
          <w:szCs w:val="28"/>
          <w:lang w:val="kk" w:eastAsia="en-US"/>
        </w:rPr>
        <w:t>ерітінді</w:t>
      </w:r>
    </w:p>
    <w:p w14:paraId="6FDCA2B3" w14:textId="77777777" w:rsidR="00F6249D" w:rsidRPr="00A06A4C" w:rsidRDefault="00F6249D" w:rsidP="00D80AD5">
      <w:pPr>
        <w:rPr>
          <w:sz w:val="28"/>
          <w:szCs w:val="28"/>
          <w:lang w:eastAsia="en-US"/>
        </w:rPr>
      </w:pPr>
    </w:p>
    <w:p w14:paraId="7E5AAF79" w14:textId="77777777" w:rsidR="00D42C3C" w:rsidRPr="00A06A4C" w:rsidRDefault="00E164C3" w:rsidP="00D80AD5">
      <w:pPr>
        <w:rPr>
          <w:b/>
          <w:sz w:val="28"/>
          <w:szCs w:val="28"/>
          <w:lang w:val="uk-UA" w:eastAsia="en-US"/>
        </w:rPr>
      </w:pPr>
      <w:r w:rsidRPr="00A06A4C">
        <w:rPr>
          <w:b/>
          <w:sz w:val="28"/>
          <w:szCs w:val="28"/>
          <w:lang w:val="kk" w:eastAsia="en-US"/>
        </w:rPr>
        <w:t>Фармакотерапиялық тобы</w:t>
      </w:r>
    </w:p>
    <w:p w14:paraId="780ABE4C" w14:textId="77777777" w:rsidR="00F6249D" w:rsidRPr="00A06A4C" w:rsidRDefault="00E164C3" w:rsidP="00D80AD5">
      <w:pPr>
        <w:jc w:val="both"/>
        <w:rPr>
          <w:sz w:val="28"/>
          <w:szCs w:val="28"/>
          <w:lang w:val="kk" w:eastAsia="en-US"/>
        </w:rPr>
      </w:pPr>
      <w:r w:rsidRPr="00A06A4C">
        <w:rPr>
          <w:sz w:val="28"/>
          <w:szCs w:val="28"/>
          <w:lang w:val="kk" w:eastAsia="en-US"/>
        </w:rPr>
        <w:t xml:space="preserve">Қан және қан түзетін ағзалар. Тромбозға қарсы препараттар. Гепарин тобы. Эноксапарин. </w:t>
      </w:r>
    </w:p>
    <w:p w14:paraId="4F3367DD" w14:textId="77777777" w:rsidR="00D42C3C" w:rsidRPr="00A06A4C" w:rsidRDefault="00E164C3" w:rsidP="00D80AD5">
      <w:pPr>
        <w:jc w:val="both"/>
        <w:rPr>
          <w:sz w:val="28"/>
          <w:szCs w:val="28"/>
          <w:lang w:val="kk" w:eastAsia="en-US"/>
        </w:rPr>
      </w:pPr>
      <w:r w:rsidRPr="00A06A4C">
        <w:rPr>
          <w:sz w:val="28"/>
          <w:szCs w:val="28"/>
          <w:lang w:val="kk" w:eastAsia="en-US"/>
        </w:rPr>
        <w:t>АТХ коды B01AB05</w:t>
      </w:r>
    </w:p>
    <w:p w14:paraId="022465AD" w14:textId="77777777" w:rsidR="00F6249D" w:rsidRPr="00A06A4C" w:rsidRDefault="00F6249D" w:rsidP="00D80AD5">
      <w:pPr>
        <w:jc w:val="both"/>
        <w:rPr>
          <w:sz w:val="28"/>
          <w:szCs w:val="28"/>
          <w:lang w:val="kk" w:eastAsia="en-US"/>
        </w:rPr>
      </w:pPr>
    </w:p>
    <w:p w14:paraId="495D4FE6" w14:textId="77777777" w:rsidR="00D42C3C" w:rsidRPr="00A06A4C" w:rsidRDefault="00E164C3" w:rsidP="00D80AD5">
      <w:pPr>
        <w:pStyle w:val="10"/>
        <w:spacing w:line="240" w:lineRule="auto"/>
        <w:rPr>
          <w:rFonts w:ascii="Times New Roman" w:hAnsi="Times New Roman"/>
          <w:b/>
          <w:sz w:val="28"/>
          <w:szCs w:val="28"/>
          <w:lang w:val="kk"/>
        </w:rPr>
      </w:pPr>
      <w:r w:rsidRPr="00A06A4C">
        <w:rPr>
          <w:rFonts w:ascii="Times New Roman" w:hAnsi="Times New Roman"/>
          <w:b/>
          <w:sz w:val="28"/>
          <w:szCs w:val="28"/>
          <w:lang w:val="kk"/>
        </w:rPr>
        <w:t>Қолданылуы</w:t>
      </w:r>
    </w:p>
    <w:p w14:paraId="1BCF1149" w14:textId="77777777" w:rsidR="00F6249D" w:rsidRPr="00A06A4C" w:rsidRDefault="00E164C3" w:rsidP="00D80AD5">
      <w:pPr>
        <w:jc w:val="both"/>
        <w:rPr>
          <w:rFonts w:ascii="UniversCyr-Light" w:hAnsi="UniversCyr-Light" w:cs="UniversCyr-Light"/>
          <w:sz w:val="28"/>
          <w:szCs w:val="28"/>
          <w:lang w:val="kk"/>
        </w:rPr>
      </w:pPr>
      <w:r w:rsidRPr="00A06A4C">
        <w:rPr>
          <w:rFonts w:ascii="UniversCyr-Light" w:hAnsi="UniversCyr-Light" w:cs="UniversCyr-Light"/>
          <w:sz w:val="28"/>
          <w:szCs w:val="28"/>
          <w:lang w:val="kk"/>
        </w:rPr>
        <w:t>- орташа немесе жоғары қаупі бар хирургиялық араласымдар кезінде, атап айтқанда онкологиялық операцияны қоса, ортопедиялық немесе жалпы хирургиялық операцияны бастан өткерген пациенттерде вена тромбоэмболиясы ауруларының профилактикасы үшін</w:t>
      </w:r>
    </w:p>
    <w:p w14:paraId="71D6E91F" w14:textId="77777777" w:rsidR="00F6249D" w:rsidRPr="00A06A4C" w:rsidRDefault="00E164C3" w:rsidP="00D80AD5">
      <w:pPr>
        <w:jc w:val="both"/>
        <w:rPr>
          <w:rFonts w:ascii="UniversCyr-Light" w:hAnsi="UniversCyr-Light" w:cs="UniversCyr-Light"/>
          <w:sz w:val="28"/>
          <w:szCs w:val="28"/>
          <w:lang w:val="kk"/>
        </w:rPr>
      </w:pPr>
      <w:r w:rsidRPr="00A06A4C">
        <w:rPr>
          <w:rFonts w:ascii="UniversCyr-Light" w:hAnsi="UniversCyr-Light" w:cs="UniversCyr-Light"/>
          <w:sz w:val="28"/>
          <w:szCs w:val="28"/>
          <w:lang w:val="kk"/>
        </w:rPr>
        <w:t xml:space="preserve">- келесілерді қамтитын жедел аурулары бар терапиялық пациенттерде вена тромбоэмболиясы ауруларының профилактикасы үшін: </w:t>
      </w:r>
    </w:p>
    <w:p w14:paraId="5CBA2EAA" w14:textId="77777777" w:rsidR="00F6249D" w:rsidRPr="00A06A4C" w:rsidRDefault="00E164C3" w:rsidP="00A06A4C">
      <w:pPr>
        <w:numPr>
          <w:ilvl w:val="0"/>
          <w:numId w:val="16"/>
        </w:numPr>
        <w:ind w:left="0"/>
        <w:jc w:val="both"/>
        <w:rPr>
          <w:rFonts w:ascii="UniversCyr-Light" w:hAnsi="UniversCyr-Light" w:cs="UniversCyr-Light"/>
          <w:sz w:val="28"/>
          <w:szCs w:val="28"/>
        </w:rPr>
      </w:pPr>
      <w:r w:rsidRPr="00A06A4C">
        <w:rPr>
          <w:rFonts w:ascii="UniversCyr-Light" w:hAnsi="UniversCyr-Light" w:cs="UniversCyr-Light"/>
          <w:sz w:val="28"/>
          <w:szCs w:val="28"/>
          <w:lang w:val="kk"/>
        </w:rPr>
        <w:t xml:space="preserve">жүректің жедел жеткіліксіздігі </w:t>
      </w:r>
    </w:p>
    <w:p w14:paraId="6D9D18E1" w14:textId="77777777" w:rsidR="00F6249D" w:rsidRPr="00A06A4C" w:rsidRDefault="00E164C3" w:rsidP="00A06A4C">
      <w:pPr>
        <w:numPr>
          <w:ilvl w:val="0"/>
          <w:numId w:val="16"/>
        </w:numPr>
        <w:ind w:left="0"/>
        <w:jc w:val="both"/>
        <w:rPr>
          <w:rFonts w:ascii="UniversCyr-Light" w:hAnsi="UniversCyr-Light" w:cs="UniversCyr-Light"/>
          <w:sz w:val="28"/>
          <w:szCs w:val="28"/>
        </w:rPr>
      </w:pPr>
      <w:r w:rsidRPr="00A06A4C">
        <w:rPr>
          <w:rFonts w:ascii="UniversCyr-Light" w:hAnsi="UniversCyr-Light" w:cs="UniversCyr-Light"/>
          <w:sz w:val="28"/>
          <w:szCs w:val="28"/>
          <w:lang w:val="kk"/>
        </w:rPr>
        <w:t>тыныс алудың жедел жеткіліксіздігі</w:t>
      </w:r>
    </w:p>
    <w:p w14:paraId="3ED069DF" w14:textId="77777777" w:rsidR="00F6249D" w:rsidRPr="00A06A4C" w:rsidRDefault="00E164C3" w:rsidP="00A06A4C">
      <w:pPr>
        <w:numPr>
          <w:ilvl w:val="0"/>
          <w:numId w:val="16"/>
        </w:numPr>
        <w:ind w:left="0"/>
        <w:jc w:val="both"/>
        <w:rPr>
          <w:rFonts w:ascii="UniversCyr-Light" w:hAnsi="UniversCyr-Light" w:cs="UniversCyr-Light"/>
          <w:sz w:val="28"/>
          <w:szCs w:val="28"/>
        </w:rPr>
      </w:pPr>
      <w:r w:rsidRPr="00A06A4C">
        <w:rPr>
          <w:rFonts w:ascii="UniversCyr-Light" w:hAnsi="UniversCyr-Light" w:cs="UniversCyr-Light"/>
          <w:sz w:val="28"/>
          <w:szCs w:val="28"/>
          <w:lang w:val="kk"/>
        </w:rPr>
        <w:t xml:space="preserve">ауыр инфекциялық немесе ревматизмдік аурулар </w:t>
      </w:r>
    </w:p>
    <w:p w14:paraId="5C7A6CD9" w14:textId="77777777" w:rsidR="00F6249D" w:rsidRPr="00A06A4C" w:rsidRDefault="00E164C3" w:rsidP="00A06A4C">
      <w:pPr>
        <w:numPr>
          <w:ilvl w:val="0"/>
          <w:numId w:val="16"/>
        </w:numPr>
        <w:ind w:left="0"/>
        <w:jc w:val="both"/>
        <w:rPr>
          <w:rFonts w:ascii="UniversCyr-Light" w:hAnsi="UniversCyr-Light" w:cs="UniversCyr-Light"/>
          <w:sz w:val="28"/>
          <w:szCs w:val="28"/>
        </w:rPr>
      </w:pPr>
      <w:r w:rsidRPr="00A06A4C">
        <w:rPr>
          <w:rFonts w:ascii="UniversCyr-Light" w:hAnsi="UniversCyr-Light" w:cs="UniversCyr-Light"/>
          <w:sz w:val="28"/>
          <w:szCs w:val="28"/>
          <w:lang w:val="kk"/>
        </w:rPr>
        <w:t xml:space="preserve">вена тромбоэмболиясы қаупі жоғары болғанда қозғалғыштықтың төмендеуі </w:t>
      </w:r>
    </w:p>
    <w:p w14:paraId="5FAE9CB1" w14:textId="77777777" w:rsidR="00F6249D" w:rsidRPr="00A06A4C" w:rsidRDefault="00E164C3" w:rsidP="00D80AD5">
      <w:pPr>
        <w:jc w:val="both"/>
        <w:rPr>
          <w:rFonts w:ascii="UniversCyr-Light" w:hAnsi="UniversCyr-Light" w:cs="UniversCyr-Light"/>
          <w:sz w:val="28"/>
          <w:szCs w:val="28"/>
        </w:rPr>
      </w:pPr>
      <w:r w:rsidRPr="00A06A4C">
        <w:rPr>
          <w:rFonts w:ascii="UniversCyr-Light" w:hAnsi="UniversCyr-Light" w:cs="UniversCyr-Light"/>
          <w:sz w:val="28"/>
          <w:szCs w:val="28"/>
          <w:lang w:val="kk"/>
        </w:rPr>
        <w:t xml:space="preserve">- тромболитикалық дәрілермен немесе хирургиялық жолмен емдеуді қажет етуі мүмкін ӨАТЭ қоспағанда, өкпе артериясының тромбоэмболиясымен (ӨАТЭ) біріккен терең веналар тромбозын (ТВТ) емдеу үшін </w:t>
      </w:r>
    </w:p>
    <w:p w14:paraId="48BE26AA" w14:textId="77777777" w:rsidR="00736D3B" w:rsidRPr="00A06A4C" w:rsidRDefault="00E164C3" w:rsidP="00D80AD5">
      <w:pPr>
        <w:jc w:val="both"/>
        <w:rPr>
          <w:rFonts w:ascii="UniversCyr-Light" w:hAnsi="UniversCyr-Light" w:cs="UniversCyr-Light"/>
          <w:sz w:val="28"/>
          <w:szCs w:val="28"/>
        </w:rPr>
      </w:pPr>
      <w:r w:rsidRPr="00A06A4C">
        <w:rPr>
          <w:rFonts w:ascii="UniversCyr-Light" w:hAnsi="UniversCyr-Light" w:cs="UniversCyr-Light"/>
          <w:sz w:val="28"/>
          <w:szCs w:val="28"/>
          <w:lang w:val="kk"/>
        </w:rPr>
        <w:lastRenderedPageBreak/>
        <w:t xml:space="preserve">- терең веналар тромбозын (ТВТ) және өкпе артериясының тромбоэмболиясын (ӨАТЭ) </w:t>
      </w:r>
      <w:r w:rsidR="000F1804" w:rsidRPr="00A06A4C">
        <w:rPr>
          <w:rFonts w:ascii="UniversCyr-Light" w:hAnsi="UniversCyr-Light" w:cs="UniversCyr-Light"/>
          <w:sz w:val="28"/>
          <w:szCs w:val="28"/>
          <w:lang w:val="kk"/>
        </w:rPr>
        <w:t>ұзақ уақыт</w:t>
      </w:r>
      <w:r w:rsidRPr="00A06A4C">
        <w:rPr>
          <w:rFonts w:ascii="UniversCyr-Light" w:hAnsi="UniversCyr-Light" w:cs="UniversCyr-Light"/>
          <w:sz w:val="28"/>
          <w:szCs w:val="28"/>
          <w:lang w:val="kk"/>
        </w:rPr>
        <w:t xml:space="preserve"> емдеу және </w:t>
      </w:r>
      <w:r w:rsidR="000F1804" w:rsidRPr="00A06A4C">
        <w:rPr>
          <w:rFonts w:ascii="UniversCyr-Light" w:hAnsi="UniversCyr-Light" w:cs="UniversCyr-Light"/>
          <w:sz w:val="28"/>
          <w:szCs w:val="28"/>
          <w:lang w:val="kk"/>
        </w:rPr>
        <w:t>белсенді обыры бар</w:t>
      </w:r>
      <w:r w:rsidRPr="00A06A4C">
        <w:rPr>
          <w:rFonts w:ascii="UniversCyr-Light" w:hAnsi="UniversCyr-Light" w:cs="UniversCyr-Light"/>
          <w:sz w:val="28"/>
          <w:szCs w:val="28"/>
          <w:lang w:val="kk"/>
        </w:rPr>
        <w:t xml:space="preserve"> пациенттерде олардың рецидивтерінің профилактикасы</w:t>
      </w:r>
    </w:p>
    <w:p w14:paraId="41DE24F8" w14:textId="77777777" w:rsidR="00F6249D" w:rsidRPr="00A06A4C" w:rsidRDefault="00E164C3" w:rsidP="00D80AD5">
      <w:pPr>
        <w:jc w:val="both"/>
        <w:rPr>
          <w:rFonts w:ascii="UniversCyr-Light" w:hAnsi="UniversCyr-Light" w:cs="UniversCyr-Light"/>
          <w:sz w:val="28"/>
          <w:szCs w:val="28"/>
        </w:rPr>
      </w:pPr>
      <w:r w:rsidRPr="00A06A4C">
        <w:rPr>
          <w:rFonts w:ascii="UniversCyr-Light" w:hAnsi="UniversCyr-Light" w:cs="UniversCyr-Light"/>
          <w:sz w:val="28"/>
          <w:szCs w:val="28"/>
          <w:lang w:val="kk"/>
        </w:rPr>
        <w:t>- гемодиализ кезіндегі жасанды қанайналым кезінде тромб түзілуінің профилактикасы үшін</w:t>
      </w:r>
      <w:r w:rsidR="001F5F47" w:rsidRPr="00A06A4C">
        <w:rPr>
          <w:rFonts w:asciiTheme="minorHAnsi" w:hAnsiTheme="minorHAnsi" w:cs="UniversCyr-Light"/>
          <w:sz w:val="28"/>
          <w:szCs w:val="28"/>
          <w:lang w:val="kk"/>
        </w:rPr>
        <w:t>.</w:t>
      </w:r>
      <w:r w:rsidRPr="00A06A4C">
        <w:rPr>
          <w:rFonts w:ascii="UniversCyr-Light" w:hAnsi="UniversCyr-Light" w:cs="UniversCyr-Light"/>
          <w:sz w:val="28"/>
          <w:szCs w:val="28"/>
          <w:lang w:val="kk"/>
        </w:rPr>
        <w:t xml:space="preserve"> </w:t>
      </w:r>
    </w:p>
    <w:p w14:paraId="023D1670" w14:textId="77777777" w:rsidR="00F6249D" w:rsidRPr="00A06A4C" w:rsidRDefault="00E164C3" w:rsidP="00D80AD5">
      <w:pPr>
        <w:jc w:val="both"/>
        <w:rPr>
          <w:rFonts w:ascii="UniversCyr-Light" w:hAnsi="UniversCyr-Light" w:cs="UniversCyr-Light"/>
          <w:i/>
          <w:sz w:val="28"/>
          <w:szCs w:val="28"/>
        </w:rPr>
      </w:pPr>
      <w:r w:rsidRPr="00A06A4C">
        <w:rPr>
          <w:rFonts w:ascii="UniversCyr-Light" w:hAnsi="UniversCyr-Light" w:cs="UniversCyr-Light"/>
          <w:i/>
          <w:sz w:val="28"/>
          <w:szCs w:val="28"/>
          <w:lang w:val="kk"/>
        </w:rPr>
        <w:t>Жедел коронарлық синдром кезінде:</w:t>
      </w:r>
    </w:p>
    <w:p w14:paraId="7C928014" w14:textId="77777777" w:rsidR="00F6249D" w:rsidRPr="00A06A4C" w:rsidRDefault="00E164C3" w:rsidP="00D80AD5">
      <w:pPr>
        <w:jc w:val="both"/>
        <w:rPr>
          <w:rFonts w:ascii="Calibri" w:hAnsi="Calibri" w:cs="UniversCyr-Light"/>
          <w:sz w:val="28"/>
          <w:szCs w:val="28"/>
        </w:rPr>
      </w:pPr>
      <w:r w:rsidRPr="00A06A4C">
        <w:rPr>
          <w:rFonts w:ascii="UniversCyr-Light" w:hAnsi="UniversCyr-Light" w:cs="UniversCyr-Light"/>
          <w:sz w:val="28"/>
          <w:szCs w:val="28"/>
          <w:lang w:val="kk"/>
        </w:rPr>
        <w:t>- тұрақсыз стенокардияны және ST сегментінің көтерілуінсіз миокард инфарктісін ацетилсалицил қышқылымен біріктіріп емдеу үшін.</w:t>
      </w:r>
    </w:p>
    <w:p w14:paraId="1B4884B8" w14:textId="77777777" w:rsidR="00CF5C21" w:rsidRPr="00A06A4C" w:rsidRDefault="00E164C3" w:rsidP="00CF5C21">
      <w:pPr>
        <w:autoSpaceDE w:val="0"/>
        <w:autoSpaceDN w:val="0"/>
        <w:adjustRightInd w:val="0"/>
        <w:jc w:val="both"/>
        <w:rPr>
          <w:color w:val="000000"/>
          <w:sz w:val="28"/>
          <w:szCs w:val="28"/>
        </w:rPr>
      </w:pPr>
      <w:r w:rsidRPr="00A06A4C">
        <w:rPr>
          <w:color w:val="000000"/>
          <w:sz w:val="28"/>
          <w:szCs w:val="28"/>
          <w:lang w:val="kk"/>
        </w:rPr>
        <w:t>ST сегментінің көтерілуімен жедел миокард инфарктісін емдеуде, соның ішінде, қажетті старттық 30 мг дозасын енгізудің мүмкін болмауына байланысты, дәрі-дәрмекпен немесе кейіннен тері арқылы жүргізілетін коронарлық араласымның (ТКА) көмегімен емделуі тиіс пациенттерде қолданылмайды, өйткені Катенокс препаратының 2000 анти-Ха ХБ/0.2 мл (20 мг) және 4000 анти-Ха ХБ/0.4 мл (40 мг) дозалы шприцтерінде бөлгіш шкала /градуировка жоқ, бастапқы дозаны енгізу қажет болмайтын егде жастағы пациенттерді қоспағанда.</w:t>
      </w:r>
    </w:p>
    <w:p w14:paraId="48183E37" w14:textId="77777777" w:rsidR="00D42C3C" w:rsidRPr="00A06A4C" w:rsidRDefault="00D42C3C" w:rsidP="00D42C3C">
      <w:pPr>
        <w:ind w:left="318"/>
        <w:rPr>
          <w:sz w:val="28"/>
          <w:szCs w:val="28"/>
          <w:lang w:eastAsia="en-US"/>
        </w:rPr>
      </w:pPr>
    </w:p>
    <w:p w14:paraId="6517A6BC" w14:textId="77777777" w:rsidR="00726CCF" w:rsidRPr="00A06A4C" w:rsidRDefault="00E164C3" w:rsidP="00B16BB0">
      <w:pPr>
        <w:rPr>
          <w:b/>
          <w:bCs/>
          <w:sz w:val="28"/>
          <w:szCs w:val="28"/>
          <w:lang w:eastAsia="en-US"/>
        </w:rPr>
      </w:pPr>
      <w:r w:rsidRPr="00A06A4C">
        <w:rPr>
          <w:b/>
          <w:bCs/>
          <w:sz w:val="28"/>
          <w:szCs w:val="28"/>
          <w:lang w:val="kk" w:eastAsia="en-US"/>
        </w:rPr>
        <w:t>Қолданудың басталуына дейінгі қажетті мәліметтер тізбесі</w:t>
      </w:r>
    </w:p>
    <w:p w14:paraId="57646392" w14:textId="77777777" w:rsidR="00726CCF" w:rsidRPr="00A06A4C" w:rsidRDefault="00E164C3" w:rsidP="00B16BB0">
      <w:pPr>
        <w:rPr>
          <w:b/>
          <w:bCs/>
          <w:i/>
          <w:sz w:val="28"/>
          <w:szCs w:val="28"/>
          <w:lang w:eastAsia="en-US"/>
        </w:rPr>
      </w:pPr>
      <w:r w:rsidRPr="00A06A4C">
        <w:rPr>
          <w:b/>
          <w:bCs/>
          <w:i/>
          <w:sz w:val="28"/>
          <w:szCs w:val="28"/>
          <w:lang w:val="kk" w:eastAsia="en-US"/>
        </w:rPr>
        <w:t>Қолдануға болмайтын жағдайлар</w:t>
      </w:r>
    </w:p>
    <w:p w14:paraId="414CB9BF" w14:textId="77777777" w:rsidR="00A67C5D" w:rsidRPr="00A06A4C" w:rsidRDefault="00E164C3" w:rsidP="00A67C5D">
      <w:pPr>
        <w:autoSpaceDE w:val="0"/>
        <w:autoSpaceDN w:val="0"/>
        <w:adjustRightInd w:val="0"/>
        <w:jc w:val="both"/>
        <w:rPr>
          <w:color w:val="000000"/>
          <w:sz w:val="28"/>
          <w:szCs w:val="28"/>
          <w:lang w:eastAsia="hu-HU"/>
        </w:rPr>
      </w:pPr>
      <w:r w:rsidRPr="00A06A4C">
        <w:rPr>
          <w:color w:val="000000"/>
          <w:sz w:val="28"/>
          <w:szCs w:val="28"/>
          <w:lang w:val="kk" w:eastAsia="hu-HU"/>
        </w:rPr>
        <w:t>- төмен молекулалы гепариндердің (ТМГ) басқа да түрлерін қоса, эноксапаринге, гепаринге немесе оның туындыларына немесе қосымша заттардың кез келгеніне аса жоғары сезімталдық</w:t>
      </w:r>
    </w:p>
    <w:p w14:paraId="377EA8D5" w14:textId="77777777" w:rsidR="00A67C5D" w:rsidRPr="00A06A4C" w:rsidRDefault="00E164C3" w:rsidP="00A67C5D">
      <w:pPr>
        <w:autoSpaceDE w:val="0"/>
        <w:autoSpaceDN w:val="0"/>
        <w:adjustRightInd w:val="0"/>
        <w:jc w:val="both"/>
        <w:rPr>
          <w:strike/>
          <w:color w:val="000000"/>
          <w:sz w:val="28"/>
          <w:szCs w:val="28"/>
          <w:lang w:eastAsia="hu-HU"/>
        </w:rPr>
      </w:pPr>
      <w:r w:rsidRPr="00A06A4C">
        <w:rPr>
          <w:color w:val="000000"/>
          <w:sz w:val="28"/>
          <w:szCs w:val="28"/>
          <w:lang w:val="kk" w:eastAsia="hu-HU"/>
        </w:rPr>
        <w:t xml:space="preserve">- анамнезінде соңғы 100 күннің ішінде ауыр, иммунитетке байланысты гепарин индукцияланған тромбоцитопенияның (ГИТ) немесе айналымдағы антиденелердің болуы </w:t>
      </w:r>
    </w:p>
    <w:p w14:paraId="111FC20F" w14:textId="77777777" w:rsidR="00A67C5D" w:rsidRPr="00A06A4C" w:rsidRDefault="00E164C3" w:rsidP="00A67C5D">
      <w:pPr>
        <w:tabs>
          <w:tab w:val="left" w:pos="567"/>
        </w:tabs>
        <w:jc w:val="both"/>
        <w:rPr>
          <w:rFonts w:eastAsia="Calibri"/>
          <w:sz w:val="28"/>
          <w:szCs w:val="28"/>
          <w:lang w:eastAsia="en-US"/>
        </w:rPr>
      </w:pPr>
      <w:r w:rsidRPr="00A06A4C">
        <w:rPr>
          <w:rFonts w:eastAsia="Calibri"/>
          <w:sz w:val="28"/>
          <w:szCs w:val="28"/>
          <w:lang w:val="kk" w:eastAsia="en-US"/>
        </w:rPr>
        <w:t>- белсенді, клиникалық тұрғыдан маңызды қан кетулер және қан кету қаупі жоғары аурулар:</w:t>
      </w:r>
    </w:p>
    <w:p w14:paraId="0A64624A" w14:textId="77777777" w:rsidR="00A67C5D" w:rsidRPr="00A06A4C" w:rsidRDefault="00E164C3" w:rsidP="00A67C5D">
      <w:pPr>
        <w:tabs>
          <w:tab w:val="left" w:pos="567"/>
        </w:tabs>
        <w:jc w:val="both"/>
        <w:rPr>
          <w:rFonts w:eastAsia="Calibri"/>
          <w:sz w:val="28"/>
          <w:szCs w:val="28"/>
          <w:lang w:eastAsia="en-US"/>
        </w:rPr>
      </w:pPr>
      <w:r w:rsidRPr="00A06A4C">
        <w:rPr>
          <w:rFonts w:eastAsia="Calibri"/>
          <w:sz w:val="28"/>
          <w:szCs w:val="28"/>
          <w:lang w:val="kk" w:eastAsia="en-US"/>
        </w:rPr>
        <w:t xml:space="preserve">- жуырда бастан өткерген геморрагиялық инсульт  </w:t>
      </w:r>
    </w:p>
    <w:p w14:paraId="481B6422" w14:textId="77777777" w:rsidR="00A67C5D" w:rsidRPr="00A06A4C" w:rsidRDefault="00E164C3" w:rsidP="00A67C5D">
      <w:pPr>
        <w:tabs>
          <w:tab w:val="left" w:pos="567"/>
        </w:tabs>
        <w:jc w:val="both"/>
        <w:rPr>
          <w:rFonts w:eastAsia="Calibri"/>
          <w:sz w:val="28"/>
          <w:szCs w:val="28"/>
          <w:lang w:eastAsia="en-US"/>
        </w:rPr>
      </w:pPr>
      <w:r w:rsidRPr="00A06A4C">
        <w:rPr>
          <w:rFonts w:eastAsia="Calibri"/>
          <w:sz w:val="28"/>
          <w:szCs w:val="28"/>
          <w:lang w:val="kk" w:eastAsia="en-US"/>
        </w:rPr>
        <w:t xml:space="preserve">- асқазан-ішек жолының ойықжара ауруы </w:t>
      </w:r>
    </w:p>
    <w:p w14:paraId="5DDD4F7B" w14:textId="77777777" w:rsidR="00A67C5D" w:rsidRPr="00A06A4C" w:rsidRDefault="00E164C3" w:rsidP="00A67C5D">
      <w:pPr>
        <w:tabs>
          <w:tab w:val="left" w:pos="567"/>
        </w:tabs>
        <w:jc w:val="both"/>
        <w:rPr>
          <w:rFonts w:eastAsia="Calibri"/>
          <w:sz w:val="28"/>
          <w:szCs w:val="28"/>
          <w:lang w:eastAsia="en-US"/>
        </w:rPr>
      </w:pPr>
      <w:r w:rsidRPr="00A06A4C">
        <w:rPr>
          <w:rFonts w:eastAsia="Calibri"/>
          <w:sz w:val="28"/>
          <w:szCs w:val="28"/>
          <w:lang w:val="kk" w:eastAsia="en-US"/>
        </w:rPr>
        <w:t xml:space="preserve">- қан кету қаупі жоғары қатерлі жаңа түзілімнің болуы </w:t>
      </w:r>
    </w:p>
    <w:p w14:paraId="0E3F0771" w14:textId="77777777" w:rsidR="00A67C5D" w:rsidRPr="00A06A4C" w:rsidRDefault="00E164C3" w:rsidP="00A67C5D">
      <w:pPr>
        <w:tabs>
          <w:tab w:val="left" w:pos="567"/>
        </w:tabs>
        <w:jc w:val="both"/>
        <w:rPr>
          <w:rFonts w:eastAsia="Calibri"/>
          <w:sz w:val="28"/>
          <w:szCs w:val="28"/>
          <w:lang w:eastAsia="en-US"/>
        </w:rPr>
      </w:pPr>
      <w:r w:rsidRPr="00A06A4C">
        <w:rPr>
          <w:rFonts w:eastAsia="Calibri"/>
          <w:sz w:val="28"/>
          <w:szCs w:val="28"/>
          <w:lang w:val="kk" w:eastAsia="en-US"/>
        </w:rPr>
        <w:t>- жуырда миға, омыртқаға жасалған операция немесе офтальмологиялық операция</w:t>
      </w:r>
    </w:p>
    <w:p w14:paraId="230D20CA" w14:textId="77777777" w:rsidR="00A67C5D" w:rsidRPr="00A06A4C" w:rsidRDefault="00E164C3" w:rsidP="00A67C5D">
      <w:pPr>
        <w:tabs>
          <w:tab w:val="left" w:pos="567"/>
        </w:tabs>
        <w:jc w:val="both"/>
        <w:rPr>
          <w:rFonts w:eastAsia="Calibri"/>
          <w:sz w:val="28"/>
          <w:szCs w:val="28"/>
          <w:lang w:eastAsia="en-US"/>
        </w:rPr>
      </w:pPr>
      <w:r w:rsidRPr="00A06A4C">
        <w:rPr>
          <w:rFonts w:eastAsia="Calibri"/>
          <w:sz w:val="28"/>
          <w:szCs w:val="28"/>
          <w:lang w:val="kk" w:eastAsia="en-US"/>
        </w:rPr>
        <w:t>- өңеш веналарының варикозды кеңеюі (немесе оған күдіктенгенде)</w:t>
      </w:r>
    </w:p>
    <w:p w14:paraId="49AFBBB3" w14:textId="77777777" w:rsidR="00A67C5D" w:rsidRPr="00A06A4C" w:rsidRDefault="00E164C3" w:rsidP="00A67C5D">
      <w:pPr>
        <w:tabs>
          <w:tab w:val="left" w:pos="567"/>
        </w:tabs>
        <w:jc w:val="both"/>
        <w:rPr>
          <w:rFonts w:eastAsia="Calibri"/>
          <w:sz w:val="28"/>
          <w:szCs w:val="28"/>
          <w:lang w:eastAsia="en-US"/>
        </w:rPr>
      </w:pPr>
      <w:r w:rsidRPr="00A06A4C">
        <w:rPr>
          <w:rFonts w:eastAsia="Calibri"/>
          <w:sz w:val="28"/>
          <w:szCs w:val="28"/>
          <w:lang w:val="kk" w:eastAsia="en-US"/>
        </w:rPr>
        <w:t>- туа біткен артерия-веналық ақау</w:t>
      </w:r>
    </w:p>
    <w:p w14:paraId="75C0A574" w14:textId="77777777" w:rsidR="00A67C5D" w:rsidRPr="00A06A4C" w:rsidRDefault="00E164C3" w:rsidP="00A67C5D">
      <w:pPr>
        <w:tabs>
          <w:tab w:val="left" w:pos="567"/>
        </w:tabs>
        <w:jc w:val="both"/>
        <w:rPr>
          <w:rFonts w:eastAsia="Calibri"/>
          <w:sz w:val="28"/>
          <w:szCs w:val="28"/>
          <w:lang w:eastAsia="en-US"/>
        </w:rPr>
      </w:pPr>
      <w:r w:rsidRPr="00A06A4C">
        <w:rPr>
          <w:rFonts w:eastAsia="Calibri"/>
          <w:sz w:val="28"/>
          <w:szCs w:val="28"/>
          <w:lang w:val="kk" w:eastAsia="en-US"/>
        </w:rPr>
        <w:t>- қантамырлардың аневризмалары</w:t>
      </w:r>
    </w:p>
    <w:p w14:paraId="7A9854C3" w14:textId="77777777" w:rsidR="00A67C5D" w:rsidRPr="00A06A4C" w:rsidRDefault="00E164C3" w:rsidP="00A67C5D">
      <w:pPr>
        <w:tabs>
          <w:tab w:val="left" w:pos="567"/>
        </w:tabs>
        <w:jc w:val="both"/>
        <w:rPr>
          <w:rFonts w:eastAsia="Calibri"/>
          <w:sz w:val="28"/>
          <w:szCs w:val="28"/>
          <w:lang w:eastAsia="en-US"/>
        </w:rPr>
      </w:pPr>
      <w:r w:rsidRPr="00A06A4C">
        <w:rPr>
          <w:rFonts w:eastAsia="Calibri"/>
          <w:sz w:val="28"/>
          <w:szCs w:val="28"/>
          <w:lang w:val="kk" w:eastAsia="en-US"/>
        </w:rPr>
        <w:t>- омыртқаішілік немесе миішілік ірі тамырлардың ауытқулары</w:t>
      </w:r>
    </w:p>
    <w:p w14:paraId="40F8C655" w14:textId="77777777" w:rsidR="00A67C5D" w:rsidRPr="00A06A4C" w:rsidRDefault="00E164C3" w:rsidP="00A67C5D">
      <w:pPr>
        <w:tabs>
          <w:tab w:val="left" w:pos="567"/>
        </w:tabs>
        <w:jc w:val="both"/>
        <w:rPr>
          <w:rFonts w:eastAsia="Calibri"/>
          <w:sz w:val="28"/>
          <w:szCs w:val="28"/>
          <w:lang w:eastAsia="en-US"/>
        </w:rPr>
      </w:pPr>
      <w:r w:rsidRPr="00A06A4C">
        <w:rPr>
          <w:rFonts w:eastAsia="Calibri"/>
          <w:sz w:val="28"/>
          <w:szCs w:val="28"/>
          <w:lang w:val="kk" w:eastAsia="en-US"/>
        </w:rPr>
        <w:t>- алдыңғы 24 сағаттың ішінде емдеу үшін натрий эноксапаринін қолданған кездегі жұлынға жасалған немесе эпидуральді анестезия немесе локорегионарлық анестезия</w:t>
      </w:r>
    </w:p>
    <w:p w14:paraId="22DD90B5" w14:textId="77777777" w:rsidR="00726CCF" w:rsidRPr="00A06A4C" w:rsidRDefault="00E164C3" w:rsidP="003E7DD0">
      <w:pPr>
        <w:jc w:val="both"/>
        <w:rPr>
          <w:b/>
          <w:bCs/>
          <w:i/>
          <w:sz w:val="28"/>
          <w:szCs w:val="28"/>
          <w:lang w:eastAsia="en-US"/>
        </w:rPr>
      </w:pPr>
      <w:r w:rsidRPr="00A06A4C">
        <w:rPr>
          <w:b/>
          <w:bCs/>
          <w:i/>
          <w:sz w:val="28"/>
          <w:szCs w:val="28"/>
          <w:lang w:val="kk" w:eastAsia="en-US"/>
        </w:rPr>
        <w:t>Басқа дәрілік  препараттармен өзара әрекеттесуі</w:t>
      </w:r>
    </w:p>
    <w:p w14:paraId="290543D3" w14:textId="77777777" w:rsidR="00D47FE1" w:rsidRPr="00A06A4C" w:rsidRDefault="00E164C3" w:rsidP="003E7DD0">
      <w:pPr>
        <w:jc w:val="both"/>
        <w:rPr>
          <w:i/>
          <w:color w:val="000000"/>
          <w:sz w:val="28"/>
          <w:szCs w:val="28"/>
          <w:u w:val="single"/>
          <w:lang w:eastAsia="hu-HU"/>
        </w:rPr>
      </w:pPr>
      <w:r w:rsidRPr="00A06A4C">
        <w:rPr>
          <w:i/>
          <w:color w:val="000000"/>
          <w:sz w:val="28"/>
          <w:szCs w:val="28"/>
          <w:u w:val="single"/>
          <w:lang w:val="kk" w:eastAsia="hu-HU"/>
        </w:rPr>
        <w:t>Ұсынылмайтын біріктірілімдер</w:t>
      </w:r>
    </w:p>
    <w:p w14:paraId="4A07C7D9" w14:textId="77777777" w:rsidR="00D47FE1" w:rsidRPr="00A06A4C" w:rsidRDefault="00E164C3" w:rsidP="00A06A4C">
      <w:pPr>
        <w:ind w:hanging="142"/>
        <w:jc w:val="both"/>
        <w:rPr>
          <w:sz w:val="28"/>
          <w:szCs w:val="24"/>
          <w:lang w:eastAsia="hu-HU"/>
        </w:rPr>
      </w:pPr>
      <w:r w:rsidRPr="00A06A4C">
        <w:rPr>
          <w:b/>
          <w:sz w:val="28"/>
          <w:szCs w:val="24"/>
          <w:lang w:val="kk" w:eastAsia="hu-HU"/>
        </w:rPr>
        <w:t>-</w:t>
      </w:r>
      <w:r w:rsidRPr="00A06A4C">
        <w:rPr>
          <w:sz w:val="28"/>
          <w:szCs w:val="24"/>
          <w:lang w:val="kk" w:eastAsia="hu-HU"/>
        </w:rPr>
        <w:t xml:space="preserve"> гемостазға әсер ететін препараттар.</w:t>
      </w:r>
    </w:p>
    <w:p w14:paraId="278AB3A3" w14:textId="77777777" w:rsidR="00D47FE1" w:rsidRPr="00A06A4C" w:rsidRDefault="00E164C3" w:rsidP="003E7DD0">
      <w:pPr>
        <w:jc w:val="both"/>
        <w:rPr>
          <w:b/>
          <w:sz w:val="28"/>
          <w:szCs w:val="24"/>
          <w:lang w:val="kk" w:eastAsia="hu-HU"/>
        </w:rPr>
      </w:pPr>
      <w:r w:rsidRPr="00A06A4C">
        <w:rPr>
          <w:sz w:val="28"/>
          <w:szCs w:val="28"/>
          <w:lang w:val="kk" w:eastAsia="hu-HU"/>
        </w:rPr>
        <w:t xml:space="preserve">Натрий эноксапаринімен емдеуді бастағанға дейін, оларды қолдану қатаң көрсетілген жағдайларды қоспағанда, гемостазға әсер ететін кейбір </w:t>
      </w:r>
      <w:r w:rsidRPr="00A06A4C">
        <w:rPr>
          <w:sz w:val="28"/>
          <w:szCs w:val="28"/>
          <w:lang w:val="kk" w:eastAsia="hu-HU"/>
        </w:rPr>
        <w:lastRenderedPageBreak/>
        <w:t xml:space="preserve">препараттарды қабылдауды тоқтату ұсынылады. Егер натрий эноксапаринінің осы препараттармен біріктірілімдері көрсетілсе, онда натрий эноксапаринін мұқият клиникалық бақылаумен және тиісінше зертханалық көрсеткіштерге мониторинг жасаумен қолдану керек.  </w:t>
      </w:r>
    </w:p>
    <w:p w14:paraId="0F1A4BF6" w14:textId="77777777" w:rsidR="00D47FE1" w:rsidRPr="00A06A4C" w:rsidRDefault="00E164C3" w:rsidP="003E7DD0">
      <w:pPr>
        <w:keepNext/>
        <w:tabs>
          <w:tab w:val="left" w:pos="567"/>
        </w:tabs>
        <w:contextualSpacing/>
        <w:jc w:val="both"/>
        <w:rPr>
          <w:sz w:val="28"/>
          <w:szCs w:val="28"/>
          <w:lang w:eastAsia="en-US"/>
        </w:rPr>
      </w:pPr>
      <w:r w:rsidRPr="00A06A4C">
        <w:rPr>
          <w:sz w:val="28"/>
          <w:szCs w:val="28"/>
          <w:lang w:val="kk" w:eastAsia="en-US"/>
        </w:rPr>
        <w:t>Ондай заттарға келесі препараттар жатады:</w:t>
      </w:r>
    </w:p>
    <w:p w14:paraId="7EE0C460" w14:textId="77777777" w:rsidR="00D47FE1" w:rsidRPr="00A06A4C" w:rsidRDefault="00E164C3" w:rsidP="00A06A4C">
      <w:pPr>
        <w:keepNext/>
        <w:numPr>
          <w:ilvl w:val="0"/>
          <w:numId w:val="18"/>
        </w:numPr>
        <w:tabs>
          <w:tab w:val="left" w:pos="709"/>
        </w:tabs>
        <w:ind w:left="0" w:hanging="284"/>
        <w:contextualSpacing/>
        <w:jc w:val="both"/>
        <w:rPr>
          <w:sz w:val="28"/>
          <w:szCs w:val="28"/>
          <w:lang w:eastAsia="en-US"/>
        </w:rPr>
      </w:pPr>
      <w:r w:rsidRPr="00A06A4C">
        <w:rPr>
          <w:sz w:val="28"/>
          <w:szCs w:val="28"/>
          <w:lang w:val="kk" w:eastAsia="en-US"/>
        </w:rPr>
        <w:t xml:space="preserve">жүйелі салицилаттар, ацетилсалицил қышқылы (қабынуға қарсы дозасы) және кеторолакты қоса, қабынуға қарсы стероидты емес препараттар; </w:t>
      </w:r>
    </w:p>
    <w:p w14:paraId="0FDA96EE" w14:textId="77777777" w:rsidR="00D47FE1" w:rsidRPr="00A06A4C" w:rsidRDefault="00E164C3" w:rsidP="00A06A4C">
      <w:pPr>
        <w:keepNext/>
        <w:numPr>
          <w:ilvl w:val="0"/>
          <w:numId w:val="18"/>
        </w:numPr>
        <w:tabs>
          <w:tab w:val="left" w:pos="709"/>
        </w:tabs>
        <w:ind w:left="0" w:hanging="284"/>
        <w:contextualSpacing/>
        <w:jc w:val="both"/>
        <w:rPr>
          <w:sz w:val="28"/>
          <w:szCs w:val="28"/>
          <w:lang w:eastAsia="en-US"/>
        </w:rPr>
      </w:pPr>
      <w:r w:rsidRPr="00A06A4C">
        <w:rPr>
          <w:rFonts w:eastAsia="MS Mincho"/>
          <w:color w:val="000000"/>
          <w:sz w:val="28"/>
          <w:szCs w:val="28"/>
          <w:lang w:val="kk" w:eastAsia="en-US"/>
        </w:rPr>
        <w:t>басқа тромболитиктер (альтеплаза, ретеплаза, стрептокиназа, тенектеплаза, урокиназа) және антикоагулянттар.</w:t>
      </w:r>
    </w:p>
    <w:p w14:paraId="4FDCEC45" w14:textId="77777777" w:rsidR="00D47FE1" w:rsidRPr="00A06A4C" w:rsidRDefault="00E164C3" w:rsidP="003E7DD0">
      <w:pPr>
        <w:tabs>
          <w:tab w:val="left" w:pos="567"/>
        </w:tabs>
        <w:jc w:val="both"/>
        <w:rPr>
          <w:i/>
          <w:sz w:val="28"/>
          <w:szCs w:val="28"/>
          <w:u w:val="single"/>
          <w:lang w:eastAsia="hu-HU"/>
        </w:rPr>
      </w:pPr>
      <w:r w:rsidRPr="00A06A4C">
        <w:rPr>
          <w:i/>
          <w:sz w:val="28"/>
          <w:szCs w:val="28"/>
          <w:u w:val="single"/>
          <w:lang w:val="kk" w:eastAsia="hu-HU"/>
        </w:rPr>
        <w:t>Сақтықпен қолдану</w:t>
      </w:r>
    </w:p>
    <w:p w14:paraId="6960FBAA" w14:textId="77777777" w:rsidR="00D47FE1" w:rsidRPr="00A06A4C" w:rsidRDefault="00E164C3" w:rsidP="003E7DD0">
      <w:pPr>
        <w:tabs>
          <w:tab w:val="left" w:pos="567"/>
        </w:tabs>
        <w:jc w:val="both"/>
        <w:rPr>
          <w:sz w:val="28"/>
          <w:szCs w:val="28"/>
          <w:lang w:eastAsia="hu-HU"/>
        </w:rPr>
      </w:pPr>
      <w:r w:rsidRPr="00A06A4C">
        <w:rPr>
          <w:sz w:val="28"/>
          <w:szCs w:val="28"/>
          <w:lang w:val="kk" w:eastAsia="hu-HU"/>
        </w:rPr>
        <w:t>Келесі препараттарды натрий эноксапаринімен бір мезгілде сақтықпен қолдануға болады:</w:t>
      </w:r>
    </w:p>
    <w:p w14:paraId="48A3987A" w14:textId="77777777" w:rsidR="00D47FE1" w:rsidRPr="00A06A4C" w:rsidRDefault="00E164C3" w:rsidP="003E7DD0">
      <w:pPr>
        <w:keepNext/>
        <w:tabs>
          <w:tab w:val="left" w:pos="567"/>
        </w:tabs>
        <w:contextualSpacing/>
        <w:jc w:val="both"/>
        <w:rPr>
          <w:i/>
          <w:sz w:val="28"/>
          <w:szCs w:val="28"/>
          <w:lang w:eastAsia="en-US"/>
        </w:rPr>
      </w:pPr>
      <w:r w:rsidRPr="00A06A4C">
        <w:rPr>
          <w:i/>
          <w:sz w:val="28"/>
          <w:szCs w:val="28"/>
          <w:lang w:val="kk" w:eastAsia="en-US"/>
        </w:rPr>
        <w:t>Гемостазға әсер ететін басқа препараттар:</w:t>
      </w:r>
    </w:p>
    <w:p w14:paraId="471D537E" w14:textId="77777777" w:rsidR="00D47FE1" w:rsidRPr="00A06A4C" w:rsidRDefault="00E164C3" w:rsidP="00A06A4C">
      <w:pPr>
        <w:numPr>
          <w:ilvl w:val="0"/>
          <w:numId w:val="17"/>
        </w:numPr>
        <w:autoSpaceDE w:val="0"/>
        <w:autoSpaceDN w:val="0"/>
        <w:adjustRightInd w:val="0"/>
        <w:ind w:left="0" w:hanging="284"/>
        <w:jc w:val="both"/>
        <w:rPr>
          <w:color w:val="000000"/>
          <w:sz w:val="28"/>
          <w:szCs w:val="28"/>
        </w:rPr>
      </w:pPr>
      <w:r w:rsidRPr="00A06A4C">
        <w:rPr>
          <w:color w:val="000000"/>
          <w:sz w:val="28"/>
          <w:szCs w:val="28"/>
          <w:lang w:val="kk"/>
        </w:rPr>
        <w:t>тромбоциттер агрегациясының тежегіштері, оның ішінде антиагреганттық дозадағы (кардиопротекция) ацетилсалицил қышқылы, клопидогрел, тиклопидин, қан кету қаупіне байланысты жедел коронарлық синдромда қолданылатын гликопротеиндік IIb/IIIa рецепторларының антогонистері</w:t>
      </w:r>
    </w:p>
    <w:p w14:paraId="4B18D413" w14:textId="77777777" w:rsidR="00D47FE1" w:rsidRPr="00A06A4C" w:rsidRDefault="00E164C3" w:rsidP="00A06A4C">
      <w:pPr>
        <w:keepNext/>
        <w:numPr>
          <w:ilvl w:val="0"/>
          <w:numId w:val="17"/>
        </w:numPr>
        <w:tabs>
          <w:tab w:val="left" w:pos="0"/>
        </w:tabs>
        <w:autoSpaceDE w:val="0"/>
        <w:autoSpaceDN w:val="0"/>
        <w:adjustRightInd w:val="0"/>
        <w:ind w:left="0" w:hanging="284"/>
        <w:jc w:val="both"/>
        <w:rPr>
          <w:color w:val="000000"/>
          <w:sz w:val="28"/>
          <w:szCs w:val="28"/>
        </w:rPr>
      </w:pPr>
      <w:r w:rsidRPr="00A06A4C">
        <w:rPr>
          <w:rFonts w:eastAsia="MS Mincho"/>
          <w:color w:val="000000"/>
          <w:sz w:val="28"/>
          <w:szCs w:val="28"/>
          <w:lang w:val="kk"/>
        </w:rPr>
        <w:t>декстран 40</w:t>
      </w:r>
    </w:p>
    <w:p w14:paraId="128CCBCD" w14:textId="77777777" w:rsidR="00D47FE1" w:rsidRPr="00A06A4C" w:rsidRDefault="00E164C3" w:rsidP="00A06A4C">
      <w:pPr>
        <w:keepNext/>
        <w:numPr>
          <w:ilvl w:val="0"/>
          <w:numId w:val="17"/>
        </w:numPr>
        <w:tabs>
          <w:tab w:val="left" w:pos="0"/>
          <w:tab w:val="left" w:pos="567"/>
        </w:tabs>
        <w:autoSpaceDE w:val="0"/>
        <w:autoSpaceDN w:val="0"/>
        <w:adjustRightInd w:val="0"/>
        <w:ind w:left="0" w:hanging="284"/>
        <w:jc w:val="both"/>
        <w:rPr>
          <w:i/>
          <w:color w:val="000000"/>
          <w:sz w:val="28"/>
          <w:szCs w:val="28"/>
        </w:rPr>
      </w:pPr>
      <w:r w:rsidRPr="00A06A4C">
        <w:rPr>
          <w:rFonts w:eastAsia="MS Mincho"/>
          <w:color w:val="000000"/>
          <w:sz w:val="28"/>
          <w:szCs w:val="28"/>
          <w:lang w:val="kk"/>
        </w:rPr>
        <w:t>жүйелі глюкокортикоидтар</w:t>
      </w:r>
    </w:p>
    <w:p w14:paraId="3E73245B" w14:textId="77777777" w:rsidR="00D47FE1" w:rsidRPr="00A06A4C" w:rsidRDefault="00E164C3" w:rsidP="003E7DD0">
      <w:pPr>
        <w:keepNext/>
        <w:tabs>
          <w:tab w:val="left" w:pos="567"/>
          <w:tab w:val="left" w:pos="851"/>
        </w:tabs>
        <w:autoSpaceDE w:val="0"/>
        <w:autoSpaceDN w:val="0"/>
        <w:adjustRightInd w:val="0"/>
        <w:jc w:val="both"/>
        <w:rPr>
          <w:i/>
          <w:color w:val="000000"/>
          <w:sz w:val="28"/>
          <w:szCs w:val="28"/>
        </w:rPr>
      </w:pPr>
      <w:r w:rsidRPr="00A06A4C">
        <w:rPr>
          <w:i/>
          <w:color w:val="000000"/>
          <w:sz w:val="28"/>
          <w:szCs w:val="28"/>
          <w:lang w:val="kk"/>
        </w:rPr>
        <w:t>Калий деңгейін жоғарылататын препараттар:</w:t>
      </w:r>
    </w:p>
    <w:p w14:paraId="62468954" w14:textId="77777777" w:rsidR="00D47FE1" w:rsidRPr="00A06A4C" w:rsidRDefault="00E164C3" w:rsidP="003E7DD0">
      <w:pPr>
        <w:autoSpaceDE w:val="0"/>
        <w:autoSpaceDN w:val="0"/>
        <w:adjustRightInd w:val="0"/>
        <w:jc w:val="both"/>
        <w:rPr>
          <w:color w:val="000000"/>
          <w:sz w:val="28"/>
          <w:szCs w:val="28"/>
        </w:rPr>
      </w:pPr>
      <w:r w:rsidRPr="00A06A4C">
        <w:rPr>
          <w:color w:val="000000"/>
          <w:sz w:val="28"/>
          <w:szCs w:val="28"/>
          <w:lang w:val="kk"/>
        </w:rPr>
        <w:t>сарысудағы калий деңгейін жоғарылататын препараттарды натрий эноксапаринімен бір мезгілде мұқият клиникалық бақылау және зертханалық көрсеткіштерді бақылау арқылы қолдануға болады.</w:t>
      </w:r>
    </w:p>
    <w:p w14:paraId="470F464A" w14:textId="77777777" w:rsidR="002E327C" w:rsidRPr="00A06A4C" w:rsidRDefault="00E164C3" w:rsidP="003E7DD0">
      <w:pPr>
        <w:jc w:val="both"/>
        <w:rPr>
          <w:b/>
          <w:bCs/>
          <w:i/>
          <w:sz w:val="28"/>
          <w:szCs w:val="28"/>
          <w:lang w:eastAsia="en-US"/>
        </w:rPr>
      </w:pPr>
      <w:r w:rsidRPr="00A06A4C">
        <w:rPr>
          <w:b/>
          <w:bCs/>
          <w:i/>
          <w:sz w:val="28"/>
          <w:szCs w:val="28"/>
          <w:lang w:val="kk" w:eastAsia="en-US"/>
        </w:rPr>
        <w:t>Арнайы сақтандырулар</w:t>
      </w:r>
    </w:p>
    <w:p w14:paraId="30085881" w14:textId="77777777" w:rsidR="00D47FE1" w:rsidRPr="00A06A4C" w:rsidRDefault="00E164C3" w:rsidP="003E7DD0">
      <w:pPr>
        <w:jc w:val="both"/>
        <w:rPr>
          <w:i/>
          <w:sz w:val="28"/>
          <w:szCs w:val="28"/>
          <w:lang w:eastAsia="en-US"/>
        </w:rPr>
      </w:pPr>
      <w:r w:rsidRPr="00A06A4C">
        <w:rPr>
          <w:i/>
          <w:sz w:val="28"/>
          <w:szCs w:val="28"/>
          <w:lang w:val="kk" w:eastAsia="en-US"/>
        </w:rPr>
        <w:t>Жалпы ақпарат</w:t>
      </w:r>
    </w:p>
    <w:p w14:paraId="4B381B9D" w14:textId="77777777" w:rsidR="00D47FE1" w:rsidRPr="00A06A4C" w:rsidRDefault="00E164C3" w:rsidP="003E7DD0">
      <w:pPr>
        <w:jc w:val="both"/>
        <w:rPr>
          <w:sz w:val="28"/>
          <w:szCs w:val="28"/>
          <w:lang w:val="kk" w:eastAsia="en-US"/>
        </w:rPr>
      </w:pPr>
      <w:r w:rsidRPr="00A06A4C">
        <w:rPr>
          <w:sz w:val="28"/>
          <w:szCs w:val="28"/>
          <w:lang w:val="kk" w:eastAsia="en-US"/>
        </w:rPr>
        <w:t xml:space="preserve">Натрий эноксапаринін басқа төмен молекулалы гепариндермен өзара алмастыру ретінде (бірлігін бірлікке) пайдалануға тыйым салынады. Бұл дәрілік препараттардың өндіру үдерісі, молекулалық салмағы, спецификалық анти-Ха белсенділігі және анти-IIa белсенділігі, дозалау бірліктері, дозалау режимі және клиникалық тиімілігі мен қауіпсіздігі бойынша айырмашылықтары бар. Бұл олардың фармакокинетикасындағы және биологиялық белсенділіктеріндегі (антитромбиндік белсенділік және тромбоциттермен өзара әрекеттесу) айырмашылықтарға алып келеді. Сондықтан  ерекше көңіл бөлу және әрбір дәрілік препарат үшін спецификалы қолдану жөніндегі нұсқаулықтарды сақтау қажет.  </w:t>
      </w:r>
    </w:p>
    <w:p w14:paraId="42882C34" w14:textId="77777777" w:rsidR="00D47FE1" w:rsidRPr="00A06A4C" w:rsidRDefault="00E164C3" w:rsidP="003E7DD0">
      <w:pPr>
        <w:jc w:val="both"/>
        <w:rPr>
          <w:sz w:val="28"/>
          <w:szCs w:val="28"/>
          <w:u w:val="single"/>
          <w:lang w:eastAsia="en-US"/>
        </w:rPr>
      </w:pPr>
      <w:r w:rsidRPr="00A06A4C">
        <w:rPr>
          <w:sz w:val="28"/>
          <w:szCs w:val="28"/>
          <w:u w:val="single"/>
          <w:lang w:val="kk" w:eastAsia="en-US"/>
        </w:rPr>
        <w:t>Анамнездегі гепарин индукциялаған тромбоцитопения (&gt;100 күн)</w:t>
      </w:r>
    </w:p>
    <w:p w14:paraId="7D149C61" w14:textId="77777777" w:rsidR="00D47FE1" w:rsidRPr="00A06A4C" w:rsidRDefault="00E164C3" w:rsidP="003E7DD0">
      <w:pPr>
        <w:jc w:val="both"/>
        <w:rPr>
          <w:sz w:val="28"/>
          <w:szCs w:val="28"/>
          <w:lang w:val="kk" w:eastAsia="en-US"/>
        </w:rPr>
      </w:pPr>
      <w:r w:rsidRPr="00A06A4C">
        <w:rPr>
          <w:sz w:val="28"/>
          <w:szCs w:val="28"/>
          <w:lang w:val="kk" w:eastAsia="en-US"/>
        </w:rPr>
        <w:t>Натрий эноксапаринін анамнезінде соңғы 100 күннің ішінде иммунитетке байланысты гепарин индукциялаған тромбоцитопениясы бар пациенттерде немесе айналымдағы антиденелер бар болғанда қолдануға болмайды. Айналымдағы антиденелер бірнеше жыл бойы сақталуы мүмкін.</w:t>
      </w:r>
    </w:p>
    <w:p w14:paraId="1AC03F1C" w14:textId="77777777" w:rsidR="00D47FE1" w:rsidRPr="00A06A4C" w:rsidRDefault="00E164C3" w:rsidP="003E7DD0">
      <w:pPr>
        <w:jc w:val="both"/>
        <w:rPr>
          <w:sz w:val="28"/>
          <w:szCs w:val="28"/>
          <w:lang w:val="kk" w:eastAsia="en-US"/>
        </w:rPr>
      </w:pPr>
      <w:r w:rsidRPr="00A06A4C">
        <w:rPr>
          <w:bCs/>
          <w:sz w:val="28"/>
          <w:szCs w:val="28"/>
          <w:lang w:val="kk" w:eastAsia="en-US"/>
        </w:rPr>
        <w:t xml:space="preserve">Натрий эноксапаринін анамнезінде айналымдағы антиденелерсіз гепарин индукциялаған тромбоцитопения (&gt;100 күн) туралы мәліметтер бар пациенттерде ерекше сақтықпен қолдану керек. Мұндай жағдайда натрий эноксапаринін қолдану туралы шешім пайда мен қауіп арақатынасына </w:t>
      </w:r>
      <w:r w:rsidRPr="00A06A4C">
        <w:rPr>
          <w:bCs/>
          <w:sz w:val="28"/>
          <w:szCs w:val="28"/>
          <w:lang w:val="kk" w:eastAsia="en-US"/>
        </w:rPr>
        <w:lastRenderedPageBreak/>
        <w:t>мұқият баға бергеннен кейін және баламалы гепариндік емес емді (мысалы, натрий данапароидын немесе лепирудинді) қолдану мүмкіндігін қарастырғаннан кейін ғана қабылдануы тиіс.</w:t>
      </w:r>
    </w:p>
    <w:p w14:paraId="5C41D10A" w14:textId="77777777" w:rsidR="00D47FE1" w:rsidRPr="00A06A4C" w:rsidRDefault="00E164C3" w:rsidP="003E7DD0">
      <w:pPr>
        <w:jc w:val="both"/>
        <w:rPr>
          <w:sz w:val="28"/>
          <w:szCs w:val="28"/>
          <w:u w:val="single"/>
          <w:lang w:val="kk" w:eastAsia="en-US"/>
        </w:rPr>
      </w:pPr>
      <w:r w:rsidRPr="00A06A4C">
        <w:rPr>
          <w:sz w:val="28"/>
          <w:szCs w:val="28"/>
          <w:u w:val="single"/>
          <w:lang w:val="kk" w:eastAsia="en-US"/>
        </w:rPr>
        <w:t>Тромбоциттер санын бақылау</w:t>
      </w:r>
    </w:p>
    <w:p w14:paraId="63FD4B7D" w14:textId="77777777" w:rsidR="00D47FE1" w:rsidRPr="00A06A4C" w:rsidRDefault="00E164C3" w:rsidP="003E7DD0">
      <w:pPr>
        <w:jc w:val="both"/>
        <w:rPr>
          <w:sz w:val="28"/>
          <w:szCs w:val="28"/>
          <w:lang w:val="kk" w:eastAsia="en-US"/>
        </w:rPr>
      </w:pPr>
      <w:r w:rsidRPr="00A06A4C">
        <w:rPr>
          <w:sz w:val="28"/>
          <w:szCs w:val="28"/>
          <w:lang w:val="kk" w:eastAsia="en-US"/>
        </w:rPr>
        <w:t xml:space="preserve">Төмен молекулалы гепариндерді енгізген кезде антиденеге байланысты гепарин индукциялаған тромбоцитопенияның да қаупі бар. Әдетте, тромбоцитопения натрий эноксапаринімен емдеуді бастағаннан кейін 5-ші және 21-ші күндер аралығындағы кезеңде пайда болады. </w:t>
      </w:r>
    </w:p>
    <w:p w14:paraId="0745F8F8" w14:textId="77777777" w:rsidR="00D47FE1" w:rsidRPr="00A06A4C" w:rsidRDefault="00E164C3" w:rsidP="003E7DD0">
      <w:pPr>
        <w:jc w:val="both"/>
        <w:rPr>
          <w:sz w:val="28"/>
          <w:szCs w:val="28"/>
          <w:lang w:val="kk" w:eastAsia="en-US"/>
        </w:rPr>
      </w:pPr>
      <w:r w:rsidRPr="00A06A4C">
        <w:rPr>
          <w:bCs/>
          <w:sz w:val="28"/>
          <w:szCs w:val="28"/>
          <w:lang w:val="kk" w:eastAsia="en-US"/>
        </w:rPr>
        <w:t>Гепарин индукциялаған тромбоцитопения қаупі  операциядан кейінгі, көбінесе жүрекке операция жасалғаннан кейінгі пациенттерде және қатерлі жаңа түзілімі бар пациенттерде жоғары.</w:t>
      </w:r>
    </w:p>
    <w:p w14:paraId="226CED8E" w14:textId="77777777" w:rsidR="00D47FE1" w:rsidRPr="00A06A4C" w:rsidRDefault="00E164C3" w:rsidP="003E7DD0">
      <w:pPr>
        <w:jc w:val="both"/>
        <w:rPr>
          <w:sz w:val="28"/>
          <w:szCs w:val="28"/>
          <w:lang w:val="kk" w:eastAsia="en-US"/>
        </w:rPr>
      </w:pPr>
      <w:r w:rsidRPr="00A06A4C">
        <w:rPr>
          <w:sz w:val="28"/>
          <w:szCs w:val="28"/>
          <w:lang w:val="kk" w:eastAsia="en-US"/>
        </w:rPr>
        <w:t>Сондықтан, тромбоциттер санын натрий эноксапаринімен емді бастағанға дейін және әрі қарай емдеу кезінде тұрақты түрде өлшеп отырған жөн.</w:t>
      </w:r>
    </w:p>
    <w:p w14:paraId="47E2218C" w14:textId="77777777" w:rsidR="00D47FE1" w:rsidRPr="00A06A4C" w:rsidRDefault="00E164C3" w:rsidP="003E7DD0">
      <w:pPr>
        <w:jc w:val="both"/>
        <w:rPr>
          <w:sz w:val="28"/>
          <w:szCs w:val="28"/>
          <w:lang w:val="kk" w:eastAsia="en-US"/>
        </w:rPr>
      </w:pPr>
      <w:r w:rsidRPr="00A06A4C">
        <w:rPr>
          <w:sz w:val="28"/>
          <w:szCs w:val="28"/>
          <w:lang w:val="kk" w:eastAsia="en-US"/>
        </w:rPr>
        <w:t>Гепарин индукциялаған тромбоцитопенияны білдіретін клиникалық симптомдар (артериялық және/немесе веналық тромбоэмболияның кез келген жаңа көрінісі, енгізген жердегі терінің кез келген ауыртатын зақымдануы, емдеуге кез келген аллергиялық немесе анафилаксиялық реакциялар) бар болса, тромбоциттер санын өлшеу қажет. Пациенттерді бұл симптомдардың пайда болуы мүмкін екенінен, және егер олар пайда болса, пациенттер мұны өздерінің емдеуші дәрігерлеріне  хабарлауы тиіс екенінен хабардар ету қажет.</w:t>
      </w:r>
    </w:p>
    <w:p w14:paraId="492DE435" w14:textId="77777777" w:rsidR="00D47FE1" w:rsidRPr="00A06A4C" w:rsidRDefault="00E164C3" w:rsidP="003E7DD0">
      <w:pPr>
        <w:jc w:val="both"/>
        <w:rPr>
          <w:sz w:val="28"/>
          <w:szCs w:val="28"/>
          <w:lang w:val="kk" w:eastAsia="en-US"/>
        </w:rPr>
      </w:pPr>
      <w:r w:rsidRPr="00A06A4C">
        <w:rPr>
          <w:sz w:val="28"/>
          <w:szCs w:val="28"/>
          <w:lang w:val="kk" w:eastAsia="en-US"/>
        </w:rPr>
        <w:t>Практикада, егер тромбоциттер санының дәлелденген елеулі төмендеуі (бастапқы мәнінен 30-50 %) орын алса, натрий эноксапаринімен емдеуді дереу тоқтату және пациентті басқа баламалы  гепариндік емес антикоагулянттармен емге ауыстыру керек.</w:t>
      </w:r>
    </w:p>
    <w:p w14:paraId="009891C3" w14:textId="77777777" w:rsidR="00D47FE1" w:rsidRPr="00A06A4C" w:rsidRDefault="00E164C3" w:rsidP="003E7DD0">
      <w:pPr>
        <w:jc w:val="both"/>
        <w:rPr>
          <w:sz w:val="28"/>
          <w:szCs w:val="28"/>
          <w:u w:val="single"/>
          <w:lang w:val="kk" w:eastAsia="en-US"/>
        </w:rPr>
      </w:pPr>
      <w:r w:rsidRPr="00A06A4C">
        <w:rPr>
          <w:sz w:val="28"/>
          <w:szCs w:val="28"/>
          <w:u w:val="single"/>
          <w:lang w:val="kk" w:eastAsia="en-US"/>
        </w:rPr>
        <w:t>Қан кету</w:t>
      </w:r>
    </w:p>
    <w:p w14:paraId="781C8468" w14:textId="77777777" w:rsidR="00D47FE1" w:rsidRPr="00A06A4C" w:rsidRDefault="00E164C3" w:rsidP="003E7DD0">
      <w:pPr>
        <w:jc w:val="both"/>
        <w:rPr>
          <w:bCs/>
          <w:sz w:val="28"/>
          <w:szCs w:val="28"/>
          <w:lang w:val="kk" w:eastAsia="en-US"/>
        </w:rPr>
      </w:pPr>
      <w:r w:rsidRPr="00A06A4C">
        <w:rPr>
          <w:bCs/>
          <w:sz w:val="28"/>
          <w:szCs w:val="28"/>
          <w:lang w:val="kk" w:eastAsia="en-US"/>
        </w:rPr>
        <w:t>Басқа да антикоагулянттарды қолданған кездегідей, кез келген жерден қан кетудің дамуы мүмкін. Қан кету дамығанда оның көзін табу және тиісті ем жүргізу қажет.</w:t>
      </w:r>
    </w:p>
    <w:p w14:paraId="79108E2D" w14:textId="77777777" w:rsidR="00D47FE1" w:rsidRPr="00A06A4C" w:rsidRDefault="00E164C3" w:rsidP="003E7DD0">
      <w:pPr>
        <w:jc w:val="both"/>
        <w:rPr>
          <w:sz w:val="28"/>
          <w:szCs w:val="28"/>
          <w:lang w:val="kk" w:eastAsia="en-US"/>
        </w:rPr>
      </w:pPr>
      <w:r w:rsidRPr="00A06A4C">
        <w:rPr>
          <w:bCs/>
          <w:sz w:val="28"/>
          <w:szCs w:val="28"/>
          <w:lang w:val="kk" w:eastAsia="en-US"/>
        </w:rPr>
        <w:t>Кез келген антикоагулянттық емдегі сияқты, натрий эноксапаринін қан кету ықтималдығы жоғары болатын мынадай жай-күйлерде сақтықпен қолдану керек:</w:t>
      </w:r>
    </w:p>
    <w:p w14:paraId="0B2B5E98" w14:textId="77777777" w:rsidR="00D47FE1" w:rsidRPr="00A06A4C" w:rsidRDefault="00E164C3" w:rsidP="003E7DD0">
      <w:pPr>
        <w:jc w:val="both"/>
        <w:rPr>
          <w:bCs/>
          <w:sz w:val="28"/>
          <w:szCs w:val="28"/>
          <w:lang w:eastAsia="en-US"/>
        </w:rPr>
      </w:pPr>
      <w:r w:rsidRPr="00A06A4C">
        <w:rPr>
          <w:sz w:val="28"/>
          <w:szCs w:val="28"/>
          <w:lang w:val="kk" w:eastAsia="en-US"/>
        </w:rPr>
        <w:t>гемостаздың бұзылуы</w:t>
      </w:r>
    </w:p>
    <w:p w14:paraId="19D8A5A4" w14:textId="77777777" w:rsidR="00D47FE1" w:rsidRPr="00A06A4C" w:rsidRDefault="00E164C3" w:rsidP="00CC4A6A">
      <w:pPr>
        <w:numPr>
          <w:ilvl w:val="0"/>
          <w:numId w:val="19"/>
        </w:numPr>
        <w:jc w:val="both"/>
        <w:rPr>
          <w:sz w:val="28"/>
          <w:szCs w:val="28"/>
          <w:lang w:eastAsia="en-US"/>
        </w:rPr>
      </w:pPr>
      <w:r w:rsidRPr="00A06A4C">
        <w:rPr>
          <w:sz w:val="28"/>
          <w:szCs w:val="28"/>
          <w:lang w:val="kk" w:eastAsia="en-US"/>
        </w:rPr>
        <w:t>анамнездегі пептидтік ойықжара</w:t>
      </w:r>
    </w:p>
    <w:p w14:paraId="275755CD" w14:textId="77777777" w:rsidR="00D47FE1" w:rsidRPr="00A06A4C" w:rsidRDefault="00E164C3" w:rsidP="00CC4A6A">
      <w:pPr>
        <w:numPr>
          <w:ilvl w:val="0"/>
          <w:numId w:val="19"/>
        </w:numPr>
        <w:jc w:val="both"/>
        <w:rPr>
          <w:sz w:val="28"/>
          <w:szCs w:val="28"/>
          <w:lang w:eastAsia="en-US"/>
        </w:rPr>
      </w:pPr>
      <w:r w:rsidRPr="00A06A4C">
        <w:rPr>
          <w:sz w:val="28"/>
          <w:szCs w:val="28"/>
          <w:lang w:val="kk" w:eastAsia="en-US"/>
        </w:rPr>
        <w:t>жуырда бастан өткерген ишемиялық инсульт</w:t>
      </w:r>
    </w:p>
    <w:p w14:paraId="5C836F6A" w14:textId="77777777" w:rsidR="00D47FE1" w:rsidRPr="00A06A4C" w:rsidRDefault="00E164C3" w:rsidP="00CC4A6A">
      <w:pPr>
        <w:numPr>
          <w:ilvl w:val="0"/>
          <w:numId w:val="19"/>
        </w:numPr>
        <w:jc w:val="both"/>
        <w:rPr>
          <w:sz w:val="28"/>
          <w:szCs w:val="28"/>
          <w:lang w:eastAsia="en-US"/>
        </w:rPr>
      </w:pPr>
      <w:r w:rsidRPr="00A06A4C">
        <w:rPr>
          <w:sz w:val="28"/>
          <w:szCs w:val="28"/>
          <w:lang w:val="kk" w:eastAsia="en-US"/>
        </w:rPr>
        <w:t>ауыр артериялық гипертензия</w:t>
      </w:r>
    </w:p>
    <w:p w14:paraId="39561C76" w14:textId="77777777" w:rsidR="00D47FE1" w:rsidRPr="00A06A4C" w:rsidRDefault="00E164C3" w:rsidP="00CC4A6A">
      <w:pPr>
        <w:numPr>
          <w:ilvl w:val="0"/>
          <w:numId w:val="19"/>
        </w:numPr>
        <w:jc w:val="both"/>
        <w:rPr>
          <w:sz w:val="28"/>
          <w:szCs w:val="28"/>
          <w:lang w:eastAsia="en-US"/>
        </w:rPr>
      </w:pPr>
      <w:r w:rsidRPr="00A06A4C">
        <w:rPr>
          <w:sz w:val="28"/>
          <w:szCs w:val="28"/>
          <w:lang w:val="kk" w:eastAsia="en-US"/>
        </w:rPr>
        <w:t>жақында бастан өткерген диабеттік ретинопатия</w:t>
      </w:r>
    </w:p>
    <w:p w14:paraId="378EA45F" w14:textId="77777777" w:rsidR="00D47FE1" w:rsidRPr="00A06A4C" w:rsidRDefault="00E164C3" w:rsidP="00CC4A6A">
      <w:pPr>
        <w:numPr>
          <w:ilvl w:val="0"/>
          <w:numId w:val="19"/>
        </w:numPr>
        <w:jc w:val="both"/>
        <w:rPr>
          <w:sz w:val="28"/>
          <w:szCs w:val="28"/>
          <w:lang w:eastAsia="en-US"/>
        </w:rPr>
      </w:pPr>
      <w:r w:rsidRPr="00A06A4C">
        <w:rPr>
          <w:sz w:val="28"/>
          <w:szCs w:val="28"/>
          <w:lang w:val="kk" w:eastAsia="en-US"/>
        </w:rPr>
        <w:t>неврологиялық немесе офтальмологиялық операция</w:t>
      </w:r>
    </w:p>
    <w:p w14:paraId="7644B19E" w14:textId="77777777" w:rsidR="00CC4A6A" w:rsidRPr="00A06A4C" w:rsidRDefault="00E164C3" w:rsidP="00CC4A6A">
      <w:pPr>
        <w:numPr>
          <w:ilvl w:val="0"/>
          <w:numId w:val="19"/>
        </w:numPr>
        <w:jc w:val="both"/>
        <w:rPr>
          <w:sz w:val="28"/>
          <w:szCs w:val="28"/>
          <w:u w:val="single"/>
          <w:lang w:eastAsia="en-US"/>
        </w:rPr>
      </w:pPr>
      <w:r w:rsidRPr="00A06A4C">
        <w:rPr>
          <w:sz w:val="28"/>
          <w:szCs w:val="28"/>
          <w:lang w:val="kk" w:eastAsia="en-US"/>
        </w:rPr>
        <w:t>гемостаз жүйесіне әсер ететін препараттарды бір мезгілде қабылдау</w:t>
      </w:r>
    </w:p>
    <w:p w14:paraId="445EE3D3" w14:textId="77777777" w:rsidR="00D47FE1" w:rsidRPr="00A06A4C" w:rsidRDefault="00E164C3" w:rsidP="00CC4A6A">
      <w:pPr>
        <w:jc w:val="both"/>
        <w:rPr>
          <w:sz w:val="28"/>
          <w:szCs w:val="28"/>
          <w:u w:val="single"/>
          <w:lang w:eastAsia="en-US"/>
        </w:rPr>
      </w:pPr>
      <w:r w:rsidRPr="00A06A4C">
        <w:rPr>
          <w:sz w:val="28"/>
          <w:szCs w:val="28"/>
          <w:u w:val="single"/>
          <w:lang w:val="kk" w:eastAsia="en-US"/>
        </w:rPr>
        <w:t>Зертханалық тесттер</w:t>
      </w:r>
    </w:p>
    <w:p w14:paraId="0756DF03" w14:textId="77777777" w:rsidR="00D47FE1" w:rsidRPr="00A06A4C" w:rsidRDefault="00E164C3" w:rsidP="003E7DD0">
      <w:pPr>
        <w:jc w:val="both"/>
        <w:rPr>
          <w:sz w:val="28"/>
          <w:szCs w:val="28"/>
          <w:lang w:eastAsia="en-US"/>
        </w:rPr>
      </w:pPr>
      <w:r w:rsidRPr="00A06A4C">
        <w:rPr>
          <w:sz w:val="28"/>
          <w:szCs w:val="28"/>
          <w:lang w:val="kk" w:eastAsia="en-US"/>
        </w:rPr>
        <w:t>Веналық тромбоэмболияның профилактикасы үшін қолданылатын дозаларда, натрий эноксапарині қан кету уақытына және  қан ұюының жалпы көрсеткіштеріне, сондай-ақ тромбоциттер агрегациясына немесе олардың  фибриногенмен байланысуына елеулі ықпал етпейді. </w:t>
      </w:r>
    </w:p>
    <w:p w14:paraId="2AB622E6" w14:textId="77777777" w:rsidR="00D47FE1" w:rsidRPr="00A06A4C" w:rsidRDefault="00E164C3" w:rsidP="003E7DD0">
      <w:pPr>
        <w:jc w:val="both"/>
        <w:rPr>
          <w:sz w:val="28"/>
          <w:szCs w:val="28"/>
          <w:lang w:val="kk" w:eastAsia="en-US"/>
        </w:rPr>
      </w:pPr>
      <w:r w:rsidRPr="00A06A4C">
        <w:rPr>
          <w:sz w:val="28"/>
          <w:szCs w:val="28"/>
          <w:lang w:val="kk" w:eastAsia="en-US"/>
        </w:rPr>
        <w:lastRenderedPageBreak/>
        <w:t xml:space="preserve">Дозаны арттырғанда ішінара белсенділенген тромбопластин уақыты (ІБТУ) және қан ұюының белсенділенген уақыты (ҚҰБУ) ұзаруы мүмкін. ІБТУ және ҚҰБУ жоғарылауы  натрий эноксапаринінің тромбозға қарсы белсенділігінің ұлғаюына тікелей дозаға тәуелділікте емес, сондықтан оларға мониторингтің қажеті жоқ.  </w:t>
      </w:r>
    </w:p>
    <w:p w14:paraId="28659CDC" w14:textId="77777777" w:rsidR="00D47FE1" w:rsidRPr="00A06A4C" w:rsidRDefault="00E164C3" w:rsidP="003E7DD0">
      <w:pPr>
        <w:jc w:val="both"/>
        <w:rPr>
          <w:sz w:val="28"/>
          <w:szCs w:val="28"/>
          <w:u w:val="single"/>
          <w:lang w:eastAsia="en-US"/>
        </w:rPr>
      </w:pPr>
      <w:r w:rsidRPr="00A06A4C">
        <w:rPr>
          <w:sz w:val="28"/>
          <w:szCs w:val="28"/>
          <w:u w:val="single"/>
          <w:lang w:val="kk" w:eastAsia="en-US"/>
        </w:rPr>
        <w:t>Жұлынға жасалатын /Эпидуральді анестезия немесе бел пункциясы</w:t>
      </w:r>
    </w:p>
    <w:p w14:paraId="5D3F6C73" w14:textId="77777777" w:rsidR="00D47FE1" w:rsidRPr="00A06A4C" w:rsidRDefault="00E164C3" w:rsidP="003E7DD0">
      <w:pPr>
        <w:jc w:val="both"/>
        <w:rPr>
          <w:sz w:val="28"/>
          <w:szCs w:val="28"/>
          <w:lang w:eastAsia="en-US"/>
        </w:rPr>
      </w:pPr>
      <w:r w:rsidRPr="00A06A4C">
        <w:rPr>
          <w:sz w:val="28"/>
          <w:szCs w:val="28"/>
          <w:lang w:val="kk" w:eastAsia="en-US"/>
        </w:rPr>
        <w:t>Натрий эноксапаринінің емдік дозаларын енгізгеннен кейін 24 сағаттың ішінде жұлынға жасалатын/эпидуральді анестезияны және бел пункциясын жүргізуге болмайды.</w:t>
      </w:r>
    </w:p>
    <w:p w14:paraId="65307162" w14:textId="77777777" w:rsidR="00D47FE1" w:rsidRPr="00A06A4C" w:rsidRDefault="00E164C3" w:rsidP="003E7DD0">
      <w:pPr>
        <w:jc w:val="both"/>
        <w:rPr>
          <w:sz w:val="28"/>
          <w:szCs w:val="28"/>
          <w:lang w:val="kk" w:eastAsia="en-US"/>
        </w:rPr>
      </w:pPr>
      <w:r w:rsidRPr="00A06A4C">
        <w:rPr>
          <w:sz w:val="28"/>
          <w:szCs w:val="28"/>
          <w:lang w:val="kk" w:eastAsia="en-US"/>
        </w:rPr>
        <w:t xml:space="preserve">Натрий эноксапаринін жұлынға жасалатын/эпидуральді анестезияны және жұлынға жасалатын  пункцияны жүргізу кезінде қолданғанда нейроаксиальді гематомалар жағдайлары туралы хабарланды, бұл тұрақты немесе қайтымсыз салданудың дамуына әкеледі. Мұндай құбылыстардың даму қаупі натрий эноксапаринін тәулігіне бір рет  4 000 ХБ (40 мг) немесе одан төмен дозаларда қолданғанда төмендейді. Операциядан кейін ішке енетін эпидуральді катетерлерді пайдаланған кезде, гемостазға әсер ететін қосымша препараттарды (мысалы, қабынуға қарсы стероидты емес препараттарды) бір мезгілде қолданғанда, жарақаттық немесе қайталанған эпидуральді немесе жұлын пункциясында, сондай-ақ омыртқаға операция жасатқан немесе омыртқаның деформациясы бар пациенттерде қауіп жоғарылайды.  </w:t>
      </w:r>
    </w:p>
    <w:p w14:paraId="0E7AB53D" w14:textId="77777777" w:rsidR="00D47FE1" w:rsidRPr="00A06A4C" w:rsidRDefault="00E164C3" w:rsidP="003E7DD0">
      <w:pPr>
        <w:jc w:val="both"/>
        <w:rPr>
          <w:sz w:val="28"/>
          <w:szCs w:val="28"/>
          <w:lang w:val="kk" w:eastAsia="en-US"/>
        </w:rPr>
      </w:pPr>
      <w:r w:rsidRPr="00A06A4C">
        <w:rPr>
          <w:sz w:val="28"/>
          <w:szCs w:val="28"/>
          <w:lang w:val="kk" w:eastAsia="en-US"/>
        </w:rPr>
        <w:t>Натрий эноксапаринін қолданумен және бір мезгілде эпидуральді немесе жұлынға жасалатын анестезияны/анальгезияны немесе бел пункциясын жүргізумен байланысты ықтимал қан кету қаупін азайту үшін, натрий эноксапаринінің  фармакокинетикалық бейінін ескеру қажет. Эпидуральді катетерді (немесе бел пункциясын) орнатуды немесе алып тастауды натрий эноксапаринінің  төмен антикоагулянттық әсерінде жүргізген жақсы; алайда, әрбір пациенттің жеткілікті мөлшердегі төмен антикоагулянттық әсерге жетуінің дәл уақыты белгісіз. Креатинин клиренсі 15-</w:t>
      </w:r>
      <w:r w:rsidRPr="00A06A4C">
        <w:rPr>
          <w:sz w:val="28"/>
          <w:szCs w:val="28"/>
          <w:lang w:val="kk" w:eastAsia="en-US"/>
        </w:rPr>
        <w:softHyphen/>
        <w:t>30 мл/минут болатын пациенттер үшін қосымша шаралар қабылдау қажет, өйткені натрий эноксапаринінің шығарылуы оларда ұзағырақ жүреді.</w:t>
      </w:r>
    </w:p>
    <w:p w14:paraId="1487A993" w14:textId="77777777" w:rsidR="00D47FE1" w:rsidRPr="00A06A4C" w:rsidRDefault="00E164C3" w:rsidP="003E7DD0">
      <w:pPr>
        <w:jc w:val="both"/>
        <w:rPr>
          <w:sz w:val="28"/>
          <w:szCs w:val="28"/>
          <w:lang w:val="kk" w:eastAsia="en-US"/>
        </w:rPr>
      </w:pPr>
      <w:r w:rsidRPr="00A06A4C">
        <w:rPr>
          <w:sz w:val="28"/>
          <w:szCs w:val="28"/>
          <w:lang w:val="kk" w:eastAsia="en-US"/>
        </w:rPr>
        <w:t>Егер эпидуральді немесе жұлынға жасалатын анестезия/анальгезия немесе бел пункциясын жүргізу кезінде дәрігердің тағайындауы бойынша антикоагулянттық ем қолданылса, төмендегідей кез келген неврологиялық симптомдарды анықтау үшін пациентке ерекше мұқият әрі тұрақты бақылау қажет: белдің ауыруы, сенсорлық және моторлық функциялардың бұзылуы (аяқтардың ұйып қалуы немесе әлсіздігі), ішектің және/немесе қуықтың функциясы бұзылуы. Пациентке жоғарыда сипатталған симптомдардың кез келгені пайда болғанда дереу дәрігерге хабарлау қажеттілігі туралы түсіндіру қажет. Жұлын гематомасына тән симптомдарға күдіктенгенде, қажет болған жағдайда жұлын декомпрессиясын қоса, шұғыл диагностика және емдеу қажет, дегенмен мұндай емдеу неврологиялық асқынулардың алдын алмауы немесе баса алмауы да мүмкін.</w:t>
      </w:r>
    </w:p>
    <w:p w14:paraId="338119A9" w14:textId="77777777" w:rsidR="00D47FE1" w:rsidRPr="00A06A4C" w:rsidRDefault="00E164C3" w:rsidP="003E7DD0">
      <w:pPr>
        <w:jc w:val="both"/>
        <w:rPr>
          <w:sz w:val="28"/>
          <w:szCs w:val="28"/>
          <w:u w:val="single"/>
          <w:lang w:val="kk" w:eastAsia="en-US"/>
        </w:rPr>
      </w:pPr>
      <w:r w:rsidRPr="00A06A4C">
        <w:rPr>
          <w:sz w:val="28"/>
          <w:szCs w:val="28"/>
          <w:u w:val="single"/>
          <w:lang w:val="kk" w:eastAsia="en-US"/>
        </w:rPr>
        <w:lastRenderedPageBreak/>
        <w:t>Тері некрозы/тері васкулиті</w:t>
      </w:r>
    </w:p>
    <w:p w14:paraId="7AC23724" w14:textId="77777777" w:rsidR="00D47FE1" w:rsidRPr="00A06A4C" w:rsidRDefault="00E164C3" w:rsidP="003E7DD0">
      <w:pPr>
        <w:jc w:val="both"/>
        <w:rPr>
          <w:sz w:val="28"/>
          <w:szCs w:val="28"/>
          <w:lang w:val="kk" w:eastAsia="en-US"/>
        </w:rPr>
      </w:pPr>
      <w:r w:rsidRPr="00A06A4C">
        <w:rPr>
          <w:sz w:val="28"/>
          <w:szCs w:val="28"/>
          <w:lang w:val="kk" w:eastAsia="en-US"/>
        </w:rPr>
        <w:t>Төмен молекулалы гепариндерді қолданған кезде тері некрозы және тері васкулиті жағдайлары туралы хабарланды. Мұндай жағдайда емдеуді  дереу тоқтату қажет.</w:t>
      </w:r>
    </w:p>
    <w:p w14:paraId="07CA5C9D" w14:textId="77777777" w:rsidR="00D47FE1" w:rsidRPr="00A06A4C" w:rsidRDefault="00E164C3" w:rsidP="003E7DD0">
      <w:pPr>
        <w:jc w:val="both"/>
        <w:rPr>
          <w:b/>
          <w:sz w:val="28"/>
          <w:szCs w:val="28"/>
          <w:u w:val="single"/>
          <w:lang w:val="kk" w:eastAsia="en-US"/>
        </w:rPr>
      </w:pPr>
      <w:r w:rsidRPr="00A06A4C">
        <w:rPr>
          <w:sz w:val="28"/>
          <w:szCs w:val="28"/>
          <w:u w:val="single"/>
          <w:lang w:val="kk" w:eastAsia="en-US"/>
        </w:rPr>
        <w:t xml:space="preserve">Тері арқылы коронарлық реваскуляризация </w:t>
      </w:r>
      <w:r w:rsidRPr="00A06A4C">
        <w:rPr>
          <w:i/>
          <w:sz w:val="28"/>
          <w:szCs w:val="28"/>
          <w:lang w:val="kk" w:eastAsia="en-US"/>
        </w:rPr>
        <w:t>(ТКР)</w:t>
      </w:r>
      <w:r w:rsidRPr="00A06A4C">
        <w:rPr>
          <w:sz w:val="28"/>
          <w:szCs w:val="28"/>
          <w:u w:val="single"/>
          <w:lang w:val="kk" w:eastAsia="en-US"/>
        </w:rPr>
        <w:t xml:space="preserve"> емшаралары</w:t>
      </w:r>
    </w:p>
    <w:p w14:paraId="794FA250" w14:textId="77777777" w:rsidR="00D47FE1" w:rsidRPr="00A06A4C" w:rsidRDefault="00E164C3" w:rsidP="003E7DD0">
      <w:pPr>
        <w:jc w:val="both"/>
        <w:rPr>
          <w:sz w:val="28"/>
          <w:szCs w:val="28"/>
          <w:lang w:val="kk" w:eastAsia="en-US"/>
        </w:rPr>
      </w:pPr>
      <w:r w:rsidRPr="00A06A4C">
        <w:rPr>
          <w:sz w:val="28"/>
          <w:szCs w:val="28"/>
          <w:lang w:val="kk" w:eastAsia="en-US"/>
        </w:rPr>
        <w:t xml:space="preserve">Тұрақсыз стенокардия, Q тісінсіз миокард инфарктісі және </w:t>
      </w:r>
      <w:bookmarkStart w:id="0" w:name="_Hlk181348474"/>
      <w:r w:rsidRPr="00A06A4C">
        <w:rPr>
          <w:sz w:val="28"/>
          <w:szCs w:val="28"/>
          <w:lang w:val="kk" w:eastAsia="en-US"/>
        </w:rPr>
        <w:t>ST сегментінің көтерілуімен жедел миокард инфарктісін</w:t>
      </w:r>
      <w:bookmarkEnd w:id="0"/>
      <w:r w:rsidRPr="00A06A4C">
        <w:rPr>
          <w:sz w:val="28"/>
          <w:szCs w:val="28"/>
          <w:lang w:val="kk" w:eastAsia="en-US"/>
        </w:rPr>
        <w:t xml:space="preserve"> емдеу кезінде тері арқылы коронарлық араласудан кейін қан кету қаупін азайту үшін натрий эноксапарині дозаларының арасында ұсынылатын аралықтарды қатаң сақтау ұсынылады. ТКР-дан кейін пункция орнында болатын гемостазға жету маңызды. Қорғағыш құрылғы қолданылған жағдайда катетерді дереу алып тастауға болады. Қолмен компрестеу әдісі қолданылған жағдайда катетер натрий эноксапаринінің соңғы теріастылық/вена ішілік инъекциясынан кейін 6 сағаттан соң алып тасталуы тиіс.  Егер ем жалғасса, келесі дозалау режимі катетерді алып тастағаннан кейін 6-8 сағат өткен соң барып тағайындалуы тиіс. Катетер енгізілген жерде қан кету немесе гематома түзілу белгілерінің бар-жоғын бағалау керек. </w:t>
      </w:r>
    </w:p>
    <w:p w14:paraId="7F12C880" w14:textId="77777777" w:rsidR="00736D3B" w:rsidRPr="00A06A4C" w:rsidRDefault="00E164C3" w:rsidP="00736D3B">
      <w:pPr>
        <w:jc w:val="both"/>
        <w:rPr>
          <w:sz w:val="28"/>
          <w:szCs w:val="28"/>
          <w:u w:val="single"/>
          <w:lang w:val="kk" w:eastAsia="en-US"/>
        </w:rPr>
      </w:pPr>
      <w:r w:rsidRPr="00A06A4C">
        <w:rPr>
          <w:sz w:val="28"/>
          <w:szCs w:val="28"/>
          <w:u w:val="single"/>
          <w:lang w:val="kk" w:eastAsia="en-US"/>
        </w:rPr>
        <w:t>Жедел инфекциялық эндокардит</w:t>
      </w:r>
    </w:p>
    <w:p w14:paraId="0EA2D701" w14:textId="77777777" w:rsidR="00736D3B" w:rsidRPr="00A06A4C" w:rsidRDefault="00E164C3" w:rsidP="003E7DD0">
      <w:pPr>
        <w:jc w:val="both"/>
        <w:rPr>
          <w:bCs/>
          <w:sz w:val="28"/>
          <w:szCs w:val="28"/>
          <w:lang w:val="kk" w:eastAsia="en-US"/>
        </w:rPr>
      </w:pPr>
      <w:r w:rsidRPr="00A06A4C">
        <w:rPr>
          <w:bCs/>
          <w:sz w:val="28"/>
          <w:szCs w:val="28"/>
          <w:lang w:val="kk" w:eastAsia="en-US"/>
        </w:rPr>
        <w:t>Гепаринді қолдану миға қан құйылу қаупіне байланысты әдетте жедел инфекциялық эндокардиті бар пациенттерге ұсынылмайды. Егер бұлай қолдану сөзсіз қажет деп саналса, пайдасы мен қаупінің арақатынасына мұқият баға бергеннен кейін ғана шешім қабылдануы тиіс.</w:t>
      </w:r>
    </w:p>
    <w:p w14:paraId="181F089F" w14:textId="77777777" w:rsidR="00D47FE1" w:rsidRPr="00A06A4C" w:rsidRDefault="00E164C3" w:rsidP="003E7DD0">
      <w:pPr>
        <w:jc w:val="both"/>
        <w:rPr>
          <w:sz w:val="28"/>
          <w:szCs w:val="28"/>
          <w:u w:val="single"/>
          <w:lang w:val="kk" w:eastAsia="en-US"/>
        </w:rPr>
      </w:pPr>
      <w:r w:rsidRPr="00A06A4C">
        <w:rPr>
          <w:sz w:val="28"/>
          <w:szCs w:val="28"/>
          <w:u w:val="single"/>
          <w:lang w:val="kk" w:eastAsia="en-US"/>
        </w:rPr>
        <w:t>Жүректің механикалық жасанды клапандары</w:t>
      </w:r>
    </w:p>
    <w:p w14:paraId="799A8BA2" w14:textId="77777777" w:rsidR="00D47FE1" w:rsidRPr="00A06A4C" w:rsidRDefault="00E164C3" w:rsidP="003E7DD0">
      <w:pPr>
        <w:jc w:val="both"/>
        <w:rPr>
          <w:bCs/>
          <w:sz w:val="28"/>
          <w:szCs w:val="28"/>
          <w:lang w:val="kk" w:eastAsia="en-US"/>
        </w:rPr>
      </w:pPr>
      <w:r w:rsidRPr="00A06A4C">
        <w:rPr>
          <w:bCs/>
          <w:sz w:val="28"/>
          <w:szCs w:val="28"/>
          <w:lang w:val="kk" w:eastAsia="en-US"/>
        </w:rPr>
        <w:t>Натрий эноксапаринін жүректің механикалық жасанды клапандары бар пациенттерде тромб түзілуінің профилактикасы үшін қолдану жеткілікті зерттелмеген. Жүректің механикалық жасанды клапандары бар пациенттерде  тромб түзілуінің профилактикасы үшін натрий эноксапаринімен ем аясында жүректің жасанды клапандарының тромбозы дамуының бірлі-жарым жағдайлары тіркелген. Жүректің жасанды клапандарында тромбоз дамуына жағдай жасайтын, негізгі ауруды қоса, шатастырарлық факторлар бар болғандықтан, клиникалық деректер жеткіліксіз болғандықтан, бұл хабарламаларға баға беру шектеулі. Бұл жағдайлардың кейбіреулері жүкті әйелдерде болған, оларда тромбоз ананың және шарананың өліміне алып келді.</w:t>
      </w:r>
    </w:p>
    <w:p w14:paraId="38EBB7D1" w14:textId="77777777" w:rsidR="00D47FE1" w:rsidRPr="00A06A4C" w:rsidRDefault="00E164C3" w:rsidP="003E7DD0">
      <w:pPr>
        <w:jc w:val="both"/>
        <w:rPr>
          <w:sz w:val="28"/>
          <w:szCs w:val="28"/>
          <w:u w:val="single"/>
          <w:lang w:val="kk" w:eastAsia="en-US"/>
        </w:rPr>
      </w:pPr>
      <w:r w:rsidRPr="00A06A4C">
        <w:rPr>
          <w:bCs/>
          <w:sz w:val="28"/>
          <w:szCs w:val="28"/>
          <w:u w:val="single"/>
          <w:lang w:val="kk" w:eastAsia="en-US"/>
        </w:rPr>
        <w:t>Жүректің механикалық жасанды клапандары бар жүкті әйелдер</w:t>
      </w:r>
    </w:p>
    <w:p w14:paraId="45F7B168" w14:textId="77777777" w:rsidR="00736D3B" w:rsidRPr="00A06A4C" w:rsidRDefault="00E164C3" w:rsidP="00736D3B">
      <w:pPr>
        <w:jc w:val="both"/>
        <w:rPr>
          <w:bCs/>
          <w:sz w:val="28"/>
          <w:szCs w:val="28"/>
          <w:lang w:val="kk" w:eastAsia="en-US"/>
        </w:rPr>
      </w:pPr>
      <w:r w:rsidRPr="00A06A4C">
        <w:rPr>
          <w:bCs/>
          <w:sz w:val="28"/>
          <w:szCs w:val="28"/>
          <w:lang w:val="kk" w:eastAsia="en-US"/>
        </w:rPr>
        <w:t xml:space="preserve">Жүрек клапандарының механикалық протездері бар жүкті әйелдерде тромбоздардың профилактикасы үшін натрий эноксапаринін  қолдану жеткілікті зерттелмеген. Тромбоэмболия қаупін азайту үшін натрий эноксапаринін тағайындалған (күніне екі рет 100 ХБ/кг (1 мг/кг)), жүрек клапандарының механикалық протездері бар жүкті әйелдерге жүргізілген клиникалық зерттеуде 8 әйелдің 2-інде тромбтар түзілді, бұл жүрек клапандарының бітелуіне және анасы мен шарананың өліміне әкелді. Тромбоздың профилактикасы үшін натрий эноксапаринін қабылдаған жүрек клапандарының механикалық протездері бар жүкті әйелдерде </w:t>
      </w:r>
      <w:r w:rsidRPr="00A06A4C">
        <w:rPr>
          <w:bCs/>
          <w:sz w:val="28"/>
          <w:szCs w:val="28"/>
          <w:lang w:val="kk" w:eastAsia="en-US"/>
        </w:rPr>
        <w:lastRenderedPageBreak/>
        <w:t>клапандардың тромбозы туралы тіркеуден кейінгі жекелеген хабарламалар болды. Жүрек клапандарының механикалық протездері бар жүкті әйелдер тромбоэмболияның жоғары қаупіне бейім болады.</w:t>
      </w:r>
    </w:p>
    <w:p w14:paraId="4A5DAC83" w14:textId="77777777" w:rsidR="00D47FE1" w:rsidRPr="00A06A4C" w:rsidRDefault="00E164C3" w:rsidP="003E7DD0">
      <w:pPr>
        <w:jc w:val="both"/>
        <w:rPr>
          <w:sz w:val="28"/>
          <w:szCs w:val="28"/>
          <w:u w:val="single"/>
          <w:lang w:val="kk" w:eastAsia="en-US"/>
        </w:rPr>
      </w:pPr>
      <w:r w:rsidRPr="00A06A4C">
        <w:rPr>
          <w:sz w:val="28"/>
          <w:szCs w:val="28"/>
          <w:u w:val="single"/>
          <w:lang w:val="kk" w:eastAsia="en-US"/>
        </w:rPr>
        <w:t>Егде жастағы пациенттер</w:t>
      </w:r>
    </w:p>
    <w:p w14:paraId="06AFED3E" w14:textId="77777777" w:rsidR="00D47FE1" w:rsidRPr="00A06A4C" w:rsidRDefault="00E164C3" w:rsidP="003E7DD0">
      <w:pPr>
        <w:jc w:val="both"/>
        <w:rPr>
          <w:sz w:val="28"/>
          <w:szCs w:val="28"/>
          <w:lang w:val="kk" w:eastAsia="en-US"/>
        </w:rPr>
      </w:pPr>
      <w:r w:rsidRPr="00A06A4C">
        <w:rPr>
          <w:sz w:val="28"/>
          <w:szCs w:val="28"/>
          <w:lang w:val="kk" w:eastAsia="en-US"/>
        </w:rPr>
        <w:t xml:space="preserve">Препаратты егде жастағы пациенттерде профилактикалық дозаларда қолданғанда қанағыштықтың ұлғаю үрдісі анықталған жоқ. Препаратты егде жастағы пациенттерде (әсіресе 80 жастағы және одан асқан пациенттерде) емдік дозаларда қолданғанда қан кету дамуының жоғары қаупі бар.  75 жастан асқан, </w:t>
      </w:r>
      <w:bookmarkStart w:id="1" w:name="_Hlk181278321"/>
      <w:r w:rsidRPr="00A06A4C">
        <w:rPr>
          <w:sz w:val="28"/>
          <w:szCs w:val="28"/>
          <w:lang w:val="kk" w:eastAsia="en-US"/>
        </w:rPr>
        <w:t>ST сегментінің көтерілуімен миокард инфарктісінен</w:t>
      </w:r>
      <w:bookmarkEnd w:id="1"/>
      <w:r w:rsidRPr="00A06A4C">
        <w:rPr>
          <w:sz w:val="28"/>
          <w:szCs w:val="28"/>
          <w:lang w:val="kk" w:eastAsia="en-US"/>
        </w:rPr>
        <w:t xml:space="preserve"> емделіп жүрген пациенттерде мұқият бақылау жүргізу және дозасын азайту мүмкіндігін қарастыру ұсынылады. </w:t>
      </w:r>
    </w:p>
    <w:p w14:paraId="262D1A39" w14:textId="77777777" w:rsidR="00D47FE1" w:rsidRPr="00A06A4C" w:rsidRDefault="00E164C3" w:rsidP="003E7DD0">
      <w:pPr>
        <w:jc w:val="both"/>
        <w:rPr>
          <w:sz w:val="28"/>
          <w:szCs w:val="28"/>
          <w:u w:val="single"/>
          <w:lang w:val="kk" w:eastAsia="en-US"/>
        </w:rPr>
      </w:pPr>
      <w:r w:rsidRPr="00A06A4C">
        <w:rPr>
          <w:sz w:val="28"/>
          <w:szCs w:val="28"/>
          <w:u w:val="single"/>
          <w:lang w:val="kk" w:eastAsia="en-US"/>
        </w:rPr>
        <w:t>Бүйрек функциясының бұзылуы</w:t>
      </w:r>
    </w:p>
    <w:p w14:paraId="2B53C71D" w14:textId="77777777" w:rsidR="00D47FE1" w:rsidRPr="00A06A4C" w:rsidRDefault="00E164C3" w:rsidP="003E7DD0">
      <w:pPr>
        <w:jc w:val="both"/>
        <w:rPr>
          <w:sz w:val="28"/>
          <w:szCs w:val="28"/>
          <w:lang w:val="kk" w:eastAsia="en-US"/>
        </w:rPr>
      </w:pPr>
      <w:r w:rsidRPr="00A06A4C">
        <w:rPr>
          <w:sz w:val="28"/>
          <w:szCs w:val="28"/>
          <w:lang w:val="kk" w:eastAsia="en-US"/>
        </w:rPr>
        <w:t>Бүйрек функциясы бұзылған пациенттерде натрий эноксапаринінің жүйелі экспозициясының ұлғаюы нәтижесінде қан кетудің даму қаупі бар. Мұндай  пациенттерде мұқият бақылау жүргізу және анти-Ха белсенділікті өлшеу жолымен биологиялық мониторинг ұсынылады.</w:t>
      </w:r>
    </w:p>
    <w:p w14:paraId="480A652C" w14:textId="77777777" w:rsidR="00D47FE1" w:rsidRPr="00A06A4C" w:rsidRDefault="00E164C3" w:rsidP="003E7DD0">
      <w:pPr>
        <w:jc w:val="both"/>
        <w:rPr>
          <w:sz w:val="28"/>
          <w:szCs w:val="28"/>
          <w:lang w:val="kk" w:eastAsia="en-US"/>
        </w:rPr>
      </w:pPr>
      <w:r w:rsidRPr="00A06A4C">
        <w:rPr>
          <w:sz w:val="28"/>
          <w:szCs w:val="28"/>
          <w:lang w:val="kk" w:eastAsia="en-US"/>
        </w:rPr>
        <w:t>Натрий эноксапарині бүйрек ауруының  терминальді сатысындағы (креатинин клиренсі &lt;15 мл/мин) пациенттерге, гемодиализ жүргізгенде қанайналымның экстракорпоральді шеңберінде тромб түзілуінің профилактикасынан өзге, популяция туралы деректер жоқ болуына байланысты, ұсынылмайды.</w:t>
      </w:r>
    </w:p>
    <w:p w14:paraId="51D82751" w14:textId="77777777" w:rsidR="00D47FE1" w:rsidRPr="00A06A4C" w:rsidRDefault="00E164C3" w:rsidP="003E7DD0">
      <w:pPr>
        <w:jc w:val="both"/>
        <w:rPr>
          <w:sz w:val="28"/>
          <w:szCs w:val="28"/>
          <w:lang w:val="kk" w:eastAsia="en-US"/>
        </w:rPr>
      </w:pPr>
      <w:r w:rsidRPr="00A06A4C">
        <w:rPr>
          <w:sz w:val="28"/>
          <w:szCs w:val="28"/>
          <w:lang w:val="kk" w:eastAsia="en-US"/>
        </w:rPr>
        <w:t>Бүйрек функциясы ауыр бұзылған пациенттерде (креатинин клиренсі 15-30 мл/мин) препаратты  профилактикалық та, емдік те қолдану кезінде дозаға түзету жүргізген жөн, өйткені натрий эноксапаринінің экспозициясы едәуір ұлғаяды.</w:t>
      </w:r>
    </w:p>
    <w:p w14:paraId="6C694290" w14:textId="77777777" w:rsidR="00D47FE1" w:rsidRPr="00A06A4C" w:rsidRDefault="00E164C3" w:rsidP="003E7DD0">
      <w:pPr>
        <w:jc w:val="both"/>
        <w:rPr>
          <w:sz w:val="28"/>
          <w:szCs w:val="28"/>
          <w:lang w:val="kk" w:eastAsia="en-US"/>
        </w:rPr>
      </w:pPr>
      <w:r w:rsidRPr="00A06A4C">
        <w:rPr>
          <w:sz w:val="28"/>
          <w:szCs w:val="28"/>
          <w:lang w:val="kk" w:eastAsia="en-US"/>
        </w:rPr>
        <w:t>Бүйрек функциясының орташа (креатинин клиренсі 30-50 мл/мин) және жеңіл (креатинин клиренсі 50-80 мл/мин) бұзылуы бар пациенттерде  дозаға түзету жүргізу қажет емес.</w:t>
      </w:r>
    </w:p>
    <w:p w14:paraId="1D2B7CFC" w14:textId="77777777" w:rsidR="00D47FE1" w:rsidRPr="00A06A4C" w:rsidRDefault="00E164C3" w:rsidP="003E7DD0">
      <w:pPr>
        <w:jc w:val="both"/>
        <w:rPr>
          <w:sz w:val="28"/>
          <w:szCs w:val="28"/>
          <w:u w:val="single"/>
          <w:lang w:val="kk" w:eastAsia="en-US"/>
        </w:rPr>
      </w:pPr>
      <w:r w:rsidRPr="00A06A4C">
        <w:rPr>
          <w:sz w:val="28"/>
          <w:szCs w:val="28"/>
          <w:u w:val="single"/>
          <w:lang w:val="kk" w:eastAsia="en-US"/>
        </w:rPr>
        <w:t>Бауыр функциясының бұзылуы</w:t>
      </w:r>
    </w:p>
    <w:p w14:paraId="28668DF7" w14:textId="77777777" w:rsidR="00D47FE1" w:rsidRPr="00A06A4C" w:rsidRDefault="00E164C3" w:rsidP="003E7DD0">
      <w:pPr>
        <w:jc w:val="both"/>
        <w:rPr>
          <w:sz w:val="28"/>
          <w:szCs w:val="28"/>
          <w:lang w:val="kk" w:eastAsia="en-US"/>
        </w:rPr>
      </w:pPr>
      <w:r w:rsidRPr="00A06A4C">
        <w:rPr>
          <w:sz w:val="28"/>
          <w:szCs w:val="28"/>
          <w:lang w:val="kk" w:eastAsia="en-US"/>
        </w:rPr>
        <w:t xml:space="preserve">Қан кету ықтималдығына байланысты, натрий эноксапаринін бауыр функциясының бұзылуы бар пациенттерде  сақтықпен қолдану керек. Анти-Xa белсенділігінің деңгейіне мониторинг негізінде дозаны түзету бауыр циррозы бар пациенттерде сенімсіз болып табылады және ұсынылмайды. </w:t>
      </w:r>
    </w:p>
    <w:p w14:paraId="0160FBF9" w14:textId="77777777" w:rsidR="00D47FE1" w:rsidRPr="00A06A4C" w:rsidRDefault="00E164C3" w:rsidP="003E7DD0">
      <w:pPr>
        <w:jc w:val="both"/>
        <w:rPr>
          <w:sz w:val="28"/>
          <w:szCs w:val="28"/>
          <w:u w:val="single"/>
          <w:lang w:val="kk" w:eastAsia="en-US"/>
        </w:rPr>
      </w:pPr>
      <w:r w:rsidRPr="00A06A4C">
        <w:rPr>
          <w:sz w:val="28"/>
          <w:szCs w:val="28"/>
          <w:u w:val="single"/>
          <w:lang w:val="kk" w:eastAsia="en-US"/>
        </w:rPr>
        <w:t>Дене салмағының аздығы</w:t>
      </w:r>
    </w:p>
    <w:p w14:paraId="00AF3EA0" w14:textId="77777777" w:rsidR="00D47FE1" w:rsidRPr="00A06A4C" w:rsidRDefault="00E164C3" w:rsidP="003E7DD0">
      <w:pPr>
        <w:jc w:val="both"/>
        <w:rPr>
          <w:sz w:val="28"/>
          <w:szCs w:val="28"/>
          <w:lang w:val="kk" w:eastAsia="en-US"/>
        </w:rPr>
      </w:pPr>
      <w:r w:rsidRPr="00A06A4C">
        <w:rPr>
          <w:sz w:val="28"/>
          <w:szCs w:val="28"/>
          <w:lang w:val="kk" w:eastAsia="en-US"/>
        </w:rPr>
        <w:t>Профилактикалық (дене салмағын ескеріп түзетілмеген) дозалардағы натрий эноксапарині экспозициясының ұлғаюы дене салмағы төмен әйелдерде (45 кг-ден аз) және дене салмағы төмен еркектерде (57 кг-ден аз) қан кетудің дамуының жоғары қаупіне әкелуі мүмкін. Мұндай пациенттердің жай-күйіне мұқият бақылау жүргізу ұсынылады.</w:t>
      </w:r>
    </w:p>
    <w:p w14:paraId="5E023852" w14:textId="77777777" w:rsidR="00D47FE1" w:rsidRPr="00A06A4C" w:rsidRDefault="00E164C3" w:rsidP="003E7DD0">
      <w:pPr>
        <w:jc w:val="both"/>
        <w:rPr>
          <w:sz w:val="28"/>
          <w:szCs w:val="28"/>
          <w:u w:val="single"/>
          <w:lang w:val="kk" w:eastAsia="en-US"/>
        </w:rPr>
      </w:pPr>
      <w:r w:rsidRPr="00A06A4C">
        <w:rPr>
          <w:sz w:val="28"/>
          <w:szCs w:val="28"/>
          <w:u w:val="single"/>
          <w:lang w:val="kk" w:eastAsia="en-US"/>
        </w:rPr>
        <w:t>Семіздікке шалдыққан пациенттер</w:t>
      </w:r>
    </w:p>
    <w:p w14:paraId="16378FF9" w14:textId="77777777" w:rsidR="00D47FE1" w:rsidRPr="00A06A4C" w:rsidRDefault="00E164C3" w:rsidP="003E7DD0">
      <w:pPr>
        <w:jc w:val="both"/>
        <w:rPr>
          <w:sz w:val="28"/>
          <w:szCs w:val="28"/>
          <w:lang w:val="kk" w:eastAsia="en-US"/>
        </w:rPr>
      </w:pPr>
      <w:r w:rsidRPr="00A06A4C">
        <w:rPr>
          <w:sz w:val="28"/>
          <w:szCs w:val="28"/>
          <w:lang w:val="kk" w:eastAsia="en-US"/>
        </w:rPr>
        <w:t>Семіздіктен зардап шегіп жүрген пациенттер тромбоэмболияның даму қаупі жоғары топқа жатады. Семіздіктен зардап шегіп жүрген (ДСИ 30 кг/м</w:t>
      </w:r>
      <w:r w:rsidRPr="00A06A4C">
        <w:rPr>
          <w:sz w:val="28"/>
          <w:szCs w:val="28"/>
          <w:vertAlign w:val="superscript"/>
          <w:lang w:val="kk" w:eastAsia="en-US"/>
        </w:rPr>
        <w:t>²</w:t>
      </w:r>
      <w:r w:rsidRPr="00A06A4C">
        <w:rPr>
          <w:sz w:val="28"/>
          <w:szCs w:val="28"/>
          <w:lang w:val="kk" w:eastAsia="en-US"/>
        </w:rPr>
        <w:t xml:space="preserve"> астам) пациенттерде эноксапаринді профилактикалық дозаларда </w:t>
      </w:r>
      <w:r w:rsidRPr="00A06A4C">
        <w:rPr>
          <w:sz w:val="28"/>
          <w:szCs w:val="28"/>
          <w:lang w:val="kk" w:eastAsia="en-US"/>
        </w:rPr>
        <w:lastRenderedPageBreak/>
        <w:t xml:space="preserve">қолданудың  қауіпсіздігі мен тиімділігі  толық анықталмаған және дозасын түзету жөнінде ортақ пікір жоқ. Бұл пациенттерді тромбоэмболия  симптомдары мен белгілерінің дамуына қатысты мұқият бақылау қажет.  </w:t>
      </w:r>
    </w:p>
    <w:p w14:paraId="6C9AF715" w14:textId="77777777" w:rsidR="00D47FE1" w:rsidRPr="00A06A4C" w:rsidRDefault="00E164C3" w:rsidP="003E7DD0">
      <w:pPr>
        <w:jc w:val="both"/>
        <w:rPr>
          <w:sz w:val="28"/>
          <w:szCs w:val="28"/>
          <w:u w:val="single"/>
          <w:lang w:val="kk" w:eastAsia="en-US"/>
        </w:rPr>
      </w:pPr>
      <w:r w:rsidRPr="00A06A4C">
        <w:rPr>
          <w:sz w:val="28"/>
          <w:szCs w:val="28"/>
          <w:u w:val="single"/>
          <w:lang w:val="kk" w:eastAsia="en-US"/>
        </w:rPr>
        <w:t xml:space="preserve">Гиперкалиемия </w:t>
      </w:r>
    </w:p>
    <w:p w14:paraId="1005C03E" w14:textId="77777777" w:rsidR="00D47FE1" w:rsidRPr="00A06A4C" w:rsidRDefault="00E164C3" w:rsidP="003E7DD0">
      <w:pPr>
        <w:jc w:val="both"/>
        <w:rPr>
          <w:sz w:val="28"/>
          <w:szCs w:val="28"/>
          <w:lang w:val="kk" w:eastAsia="en-US"/>
        </w:rPr>
      </w:pPr>
      <w:r w:rsidRPr="00A06A4C">
        <w:rPr>
          <w:sz w:val="28"/>
          <w:szCs w:val="28"/>
          <w:lang w:val="kk" w:eastAsia="en-US"/>
        </w:rPr>
        <w:t>Гепариндер бүйрекүсті бездері қыртысының альдостерон гормоны секрециясын басуы мүмкін, бұл гиперкалиемияға әкеліп соғады, атап айтқанда қантты диабеті, бүйректің созылмалы жеткіліксіздігі бар, бұрын метаболизмдік ацидозы болған, калий деңгейін арттыратын дәрілік препараттарды қабылдайтын пациенттерде.  Плазмадағы калийді, әсіресе қауіп тобындағы пациенттерде, ұдайы тексеру керек.</w:t>
      </w:r>
    </w:p>
    <w:p w14:paraId="47ACB54F" w14:textId="77777777" w:rsidR="00D47FE1" w:rsidRPr="00A06A4C" w:rsidRDefault="00E164C3" w:rsidP="003E7DD0">
      <w:pPr>
        <w:jc w:val="both"/>
        <w:rPr>
          <w:sz w:val="28"/>
          <w:szCs w:val="28"/>
          <w:u w:val="single"/>
          <w:lang w:val="kk" w:eastAsia="en-US"/>
        </w:rPr>
      </w:pPr>
      <w:r w:rsidRPr="00A06A4C">
        <w:rPr>
          <w:sz w:val="28"/>
          <w:szCs w:val="28"/>
          <w:u w:val="single"/>
          <w:lang w:val="kk" w:eastAsia="en-US"/>
        </w:rPr>
        <w:t xml:space="preserve">Қадағалануы </w:t>
      </w:r>
    </w:p>
    <w:p w14:paraId="47B466AC" w14:textId="77777777" w:rsidR="00D47FE1" w:rsidRPr="00A06A4C" w:rsidRDefault="00E164C3" w:rsidP="003E7DD0">
      <w:pPr>
        <w:jc w:val="both"/>
        <w:rPr>
          <w:sz w:val="28"/>
          <w:szCs w:val="28"/>
          <w:lang w:val="kk" w:eastAsia="en-US"/>
        </w:rPr>
      </w:pPr>
      <w:r w:rsidRPr="00A06A4C">
        <w:rPr>
          <w:sz w:val="28"/>
          <w:szCs w:val="28"/>
          <w:lang w:val="kk" w:eastAsia="en-US"/>
        </w:rPr>
        <w:t>Төмен молекулалы гепариндер – бұлар биологиялық дәрілік препараттар. Төмен молекулалы гепариндердің қадағалануын жақсарту үшін медицина қызметкерлеріне пациенттің картасына енгізілген препараттың саудалық атауын және партия нөмірін жазып қою ұсынылады.</w:t>
      </w:r>
    </w:p>
    <w:p w14:paraId="6ED3BF8E" w14:textId="77777777" w:rsidR="00736D3B" w:rsidRPr="00A06A4C" w:rsidRDefault="00E164C3" w:rsidP="00736D3B">
      <w:pPr>
        <w:jc w:val="both"/>
        <w:rPr>
          <w:sz w:val="28"/>
          <w:szCs w:val="28"/>
          <w:u w:val="single"/>
          <w:lang w:val="kk"/>
        </w:rPr>
      </w:pPr>
      <w:r w:rsidRPr="00A06A4C">
        <w:rPr>
          <w:sz w:val="28"/>
          <w:szCs w:val="28"/>
          <w:u w:val="single"/>
          <w:lang w:val="kk"/>
        </w:rPr>
        <w:t>Жедел жайылған экзантематозды пустулез</w:t>
      </w:r>
    </w:p>
    <w:p w14:paraId="4C689A14" w14:textId="77777777" w:rsidR="00736D3B" w:rsidRPr="00A06A4C" w:rsidRDefault="00E164C3" w:rsidP="003E7DD0">
      <w:pPr>
        <w:jc w:val="both"/>
        <w:rPr>
          <w:sz w:val="28"/>
          <w:szCs w:val="28"/>
          <w:lang w:val="kk"/>
        </w:rPr>
      </w:pPr>
      <w:r w:rsidRPr="00A06A4C">
        <w:rPr>
          <w:sz w:val="28"/>
          <w:szCs w:val="28"/>
          <w:lang w:val="kk"/>
        </w:rPr>
        <w:t xml:space="preserve">Жедел жайылған экзантематозды пустулез (AGEP) эноксапаринмен емдеумен байланысты белгісіз жиілікпен тіркелді. Пациенттерге препаратты тағайындаған кезде белгілер мен симптомдар туралы хабарлау және тері реакцияларын мұқият қадағалау керек. Егер осы реакцияларды көрсететін белгілер мен симптомдар пайда болса, эноксапаринді дереу тоқтату және баламалы емдеуді (қажеттілігіне қарай) қарастыру керек. </w:t>
      </w:r>
    </w:p>
    <w:p w14:paraId="63EBD5E4" w14:textId="77777777" w:rsidR="00436172" w:rsidRPr="00A06A4C" w:rsidRDefault="00E164C3" w:rsidP="003E7DD0">
      <w:pPr>
        <w:jc w:val="both"/>
        <w:rPr>
          <w:bCs/>
          <w:i/>
          <w:sz w:val="28"/>
          <w:szCs w:val="28"/>
          <w:lang w:val="kk" w:eastAsia="en-US"/>
        </w:rPr>
      </w:pPr>
      <w:r w:rsidRPr="00A06A4C">
        <w:rPr>
          <w:bCs/>
          <w:i/>
          <w:sz w:val="28"/>
          <w:szCs w:val="28"/>
          <w:lang w:val="kk" w:eastAsia="en-US"/>
        </w:rPr>
        <w:t xml:space="preserve">Жүктілік кезінде </w:t>
      </w:r>
    </w:p>
    <w:p w14:paraId="697989DB" w14:textId="77777777" w:rsidR="00D47FE1" w:rsidRPr="00A06A4C" w:rsidRDefault="00E164C3" w:rsidP="003E7DD0">
      <w:pPr>
        <w:jc w:val="both"/>
        <w:rPr>
          <w:sz w:val="28"/>
          <w:szCs w:val="28"/>
          <w:lang w:val="kk" w:eastAsia="en-US"/>
        </w:rPr>
      </w:pPr>
      <w:r w:rsidRPr="00A06A4C">
        <w:rPr>
          <w:sz w:val="28"/>
          <w:szCs w:val="28"/>
          <w:lang w:val="kk" w:eastAsia="en-US"/>
        </w:rPr>
        <w:t xml:space="preserve">Адамда жүктіліктің екінші және үшінші триместрі кезінде натрий эноксапаринінің плаценталық бөгет арқылы өтетіндігі туралы мәліметтер жоқ. Жүктіліктің бірінші триместріне қатысты тиісті ақпарат жоқ. </w:t>
      </w:r>
    </w:p>
    <w:p w14:paraId="76AA8453" w14:textId="77777777" w:rsidR="00D47FE1" w:rsidRPr="00A06A4C" w:rsidRDefault="00E164C3" w:rsidP="003E7DD0">
      <w:pPr>
        <w:jc w:val="both"/>
        <w:rPr>
          <w:sz w:val="28"/>
          <w:szCs w:val="28"/>
          <w:lang w:val="kk" w:eastAsia="en-US"/>
        </w:rPr>
      </w:pPr>
      <w:r w:rsidRPr="00A06A4C">
        <w:rPr>
          <w:sz w:val="28"/>
          <w:szCs w:val="28"/>
          <w:lang w:val="kk" w:eastAsia="en-US"/>
        </w:rPr>
        <w:t xml:space="preserve">Эноксапарин натрийді жүктілік кезінде тек, дәрігер оны қолданудың аса қажеттілігін анықтаған жағдайларда ғана қолдану керек.  </w:t>
      </w:r>
    </w:p>
    <w:p w14:paraId="06A36854" w14:textId="77777777" w:rsidR="00D47FE1" w:rsidRPr="00A06A4C" w:rsidRDefault="00E164C3" w:rsidP="003E7DD0">
      <w:pPr>
        <w:jc w:val="both"/>
        <w:rPr>
          <w:sz w:val="28"/>
          <w:szCs w:val="28"/>
          <w:lang w:val="kk" w:eastAsia="en-US"/>
        </w:rPr>
      </w:pPr>
      <w:r w:rsidRPr="00A06A4C">
        <w:rPr>
          <w:sz w:val="28"/>
          <w:szCs w:val="28"/>
          <w:lang w:val="kk" w:eastAsia="en-US"/>
        </w:rPr>
        <w:t xml:space="preserve">Эноксапарин натрийді қабылдап жүрген жүкті әйелдерге, қан кету немесе шамадан тыс антикоагуляция белгілерінің пайда болуына қатысты мұқият қадағалау жүргізу керек. Әйелдерге қан кету қаупі туралы ескерту қажет.  Жалпы алғанда, деректерге сәйкес, жүректің жасанды клапандары бар жүкті әйелдер үшін қаупінен өзге, жүкті емес әйелдер үшін қаупіне қатысты қан кету, тромбоцитопения және остеопороз қаупінің артатындығына дәлелдер жоқ.  </w:t>
      </w:r>
    </w:p>
    <w:p w14:paraId="45E621E0" w14:textId="77777777" w:rsidR="00C82961" w:rsidRPr="00A06A4C" w:rsidRDefault="00E164C3" w:rsidP="00C82961">
      <w:pPr>
        <w:jc w:val="both"/>
        <w:rPr>
          <w:sz w:val="28"/>
          <w:szCs w:val="28"/>
          <w:lang w:val="kk" w:eastAsia="en-US"/>
        </w:rPr>
      </w:pPr>
      <w:r w:rsidRPr="00A06A4C">
        <w:rPr>
          <w:sz w:val="28"/>
          <w:szCs w:val="28"/>
          <w:lang w:val="kk" w:eastAsia="en-US"/>
        </w:rPr>
        <w:t xml:space="preserve">Алайда, егер эпидуральді анестезия жоспарланса, егер бұл мүмкін болса, анестезияға дейін, кемінде 12 сағат бұрын гепаринмен профилактикалық емді тоқтату керек. </w:t>
      </w:r>
    </w:p>
    <w:p w14:paraId="28AE7388" w14:textId="77777777" w:rsidR="00436172" w:rsidRPr="00A06A4C" w:rsidRDefault="00E164C3" w:rsidP="003E7DD0">
      <w:pPr>
        <w:jc w:val="both"/>
        <w:rPr>
          <w:i/>
          <w:sz w:val="28"/>
          <w:szCs w:val="28"/>
          <w:lang w:val="kk" w:eastAsia="en-US"/>
        </w:rPr>
      </w:pPr>
      <w:r w:rsidRPr="00A06A4C">
        <w:rPr>
          <w:i/>
          <w:sz w:val="28"/>
          <w:szCs w:val="28"/>
          <w:lang w:val="kk" w:eastAsia="en-US"/>
        </w:rPr>
        <w:t>Лактация</w:t>
      </w:r>
    </w:p>
    <w:p w14:paraId="4792E420" w14:textId="77777777" w:rsidR="00D47FE1" w:rsidRPr="00A06A4C" w:rsidRDefault="00E164C3" w:rsidP="003E7DD0">
      <w:pPr>
        <w:jc w:val="both"/>
        <w:rPr>
          <w:sz w:val="28"/>
          <w:szCs w:val="28"/>
          <w:lang w:val="kk" w:eastAsia="en-US"/>
        </w:rPr>
      </w:pPr>
      <w:r w:rsidRPr="00A06A4C">
        <w:rPr>
          <w:sz w:val="28"/>
          <w:szCs w:val="28"/>
          <w:lang w:val="kk" w:eastAsia="en-US"/>
        </w:rPr>
        <w:t>Өзгермеген натрий эноксапаринінің адамда емшек сүтіне бөлінетін-бөлінбейтіндігі белгісіз. Натрий эноксапаринінің пероральді сіңірілу ықтималдығы аз. Катеноксты бала емізу кезінде қолдануға болады.</w:t>
      </w:r>
    </w:p>
    <w:p w14:paraId="6946708C" w14:textId="77777777" w:rsidR="00D47FE1" w:rsidRPr="00A06A4C" w:rsidRDefault="00E164C3" w:rsidP="003E7DD0">
      <w:pPr>
        <w:jc w:val="both"/>
        <w:rPr>
          <w:i/>
          <w:sz w:val="28"/>
          <w:szCs w:val="28"/>
          <w:lang w:val="kk" w:eastAsia="en-US"/>
        </w:rPr>
      </w:pPr>
      <w:r w:rsidRPr="00A06A4C">
        <w:rPr>
          <w:i/>
          <w:sz w:val="28"/>
          <w:szCs w:val="28"/>
          <w:lang w:val="kk" w:eastAsia="en-US"/>
        </w:rPr>
        <w:t xml:space="preserve">Фертильділік </w:t>
      </w:r>
    </w:p>
    <w:p w14:paraId="4E588B4B" w14:textId="77777777" w:rsidR="00D47FE1" w:rsidRPr="00A06A4C" w:rsidRDefault="00E164C3" w:rsidP="003E7DD0">
      <w:pPr>
        <w:jc w:val="both"/>
        <w:rPr>
          <w:sz w:val="28"/>
          <w:szCs w:val="28"/>
          <w:lang w:val="kk" w:eastAsia="en-US"/>
        </w:rPr>
      </w:pPr>
      <w:r w:rsidRPr="00A06A4C">
        <w:rPr>
          <w:sz w:val="28"/>
          <w:szCs w:val="28"/>
          <w:lang w:val="kk" w:eastAsia="en-US"/>
        </w:rPr>
        <w:lastRenderedPageBreak/>
        <w:t xml:space="preserve">Фертильділікке қатысты натрий эноксапарині бойынша клиникалық деректер жоқ. </w:t>
      </w:r>
    </w:p>
    <w:p w14:paraId="35E48D52" w14:textId="77777777" w:rsidR="00D47FE1" w:rsidRPr="00A06A4C" w:rsidRDefault="00E164C3" w:rsidP="003E7DD0">
      <w:pPr>
        <w:jc w:val="both"/>
        <w:rPr>
          <w:sz w:val="28"/>
          <w:szCs w:val="28"/>
          <w:u w:val="single"/>
          <w:lang w:val="kk" w:eastAsia="en-US"/>
        </w:rPr>
      </w:pPr>
      <w:r w:rsidRPr="00A06A4C">
        <w:rPr>
          <w:sz w:val="28"/>
          <w:szCs w:val="28"/>
          <w:u w:val="single"/>
          <w:lang w:val="kk" w:eastAsia="en-US"/>
        </w:rPr>
        <w:t>Бөлу шкаласы</w:t>
      </w:r>
    </w:p>
    <w:p w14:paraId="1C0E4ACC" w14:textId="77777777" w:rsidR="00D47FE1" w:rsidRPr="00A06A4C" w:rsidRDefault="00E164C3" w:rsidP="003E7DD0">
      <w:pPr>
        <w:jc w:val="both"/>
        <w:rPr>
          <w:sz w:val="28"/>
          <w:szCs w:val="28"/>
          <w:lang w:val="kk" w:eastAsia="en-US"/>
        </w:rPr>
      </w:pPr>
      <w:r w:rsidRPr="00A06A4C">
        <w:rPr>
          <w:sz w:val="28"/>
          <w:szCs w:val="28"/>
          <w:lang w:val="kk" w:eastAsia="en-US"/>
        </w:rPr>
        <w:t>Катенокс препаратының алдын ала</w:t>
      </w:r>
      <w:r w:rsidR="00A06A4C">
        <w:rPr>
          <w:sz w:val="28"/>
          <w:szCs w:val="28"/>
          <w:lang w:val="kk" w:eastAsia="en-US"/>
        </w:rPr>
        <w:t xml:space="preserve"> </w:t>
      </w:r>
      <w:r w:rsidRPr="00A06A4C">
        <w:rPr>
          <w:sz w:val="28"/>
          <w:szCs w:val="28"/>
          <w:lang w:val="kk" w:eastAsia="en-US"/>
        </w:rPr>
        <w:t>толтырылған шприцтерінде,  инъекцияға арналған  2000 анти-Ха ХБ/0.2 мл, 4000 анти-Ха ХБ/0.,4 мл ерітінді, бөлу шкаласы жоқ.</w:t>
      </w:r>
    </w:p>
    <w:p w14:paraId="6B583CF0" w14:textId="77777777" w:rsidR="00CA757D" w:rsidRPr="00A06A4C" w:rsidRDefault="00E164C3" w:rsidP="003E7DD0">
      <w:pPr>
        <w:jc w:val="both"/>
        <w:rPr>
          <w:bCs/>
          <w:i/>
          <w:sz w:val="28"/>
          <w:szCs w:val="28"/>
          <w:lang w:val="kk" w:eastAsia="en-US"/>
        </w:rPr>
      </w:pPr>
      <w:r w:rsidRPr="00A06A4C">
        <w:rPr>
          <w:bCs/>
          <w:i/>
          <w:sz w:val="28"/>
          <w:szCs w:val="28"/>
          <w:lang w:val="kk" w:eastAsia="en-US"/>
        </w:rPr>
        <w:t>Дәрілік заттың көлік құралын және қауіптілігі зор механизмдерді  басқару қабілетіне әсер ету ерекшеліктері</w:t>
      </w:r>
    </w:p>
    <w:p w14:paraId="3326B24F" w14:textId="77777777" w:rsidR="00D47FE1" w:rsidRPr="00A06A4C" w:rsidRDefault="00E164C3" w:rsidP="00D80AD5">
      <w:pPr>
        <w:jc w:val="both"/>
        <w:rPr>
          <w:strike/>
          <w:sz w:val="28"/>
          <w:szCs w:val="28"/>
          <w:lang w:val="kk" w:eastAsia="hu-HU"/>
        </w:rPr>
      </w:pPr>
      <w:r w:rsidRPr="00A06A4C">
        <w:rPr>
          <w:bCs/>
          <w:color w:val="000000"/>
          <w:sz w:val="28"/>
          <w:szCs w:val="28"/>
          <w:lang w:val="kk" w:eastAsia="hu-HU"/>
        </w:rPr>
        <w:t>Натрий эноксапарині</w:t>
      </w:r>
      <w:r w:rsidRPr="00A06A4C">
        <w:rPr>
          <w:sz w:val="28"/>
          <w:szCs w:val="28"/>
          <w:lang w:val="kk" w:eastAsia="hu-HU"/>
        </w:rPr>
        <w:t xml:space="preserve"> көлік құралдарын басқару және механизмдермен жұмыс істеу қабілетіне елеусіз ықпал етеді немесе мүлде ықпал етпейді.</w:t>
      </w:r>
    </w:p>
    <w:p w14:paraId="6E93428F" w14:textId="77777777" w:rsidR="00726CCF" w:rsidRPr="00A06A4C" w:rsidRDefault="00726CCF" w:rsidP="00436172">
      <w:pPr>
        <w:jc w:val="both"/>
        <w:rPr>
          <w:sz w:val="28"/>
          <w:szCs w:val="28"/>
          <w:lang w:val="kk" w:eastAsia="en-US"/>
        </w:rPr>
      </w:pPr>
    </w:p>
    <w:p w14:paraId="226D5B31" w14:textId="77777777" w:rsidR="00084A63" w:rsidRPr="00A06A4C" w:rsidRDefault="00E164C3" w:rsidP="00D80AD5">
      <w:pPr>
        <w:rPr>
          <w:b/>
          <w:sz w:val="28"/>
          <w:szCs w:val="28"/>
          <w:lang w:val="kk" w:eastAsia="en-US"/>
        </w:rPr>
      </w:pPr>
      <w:r w:rsidRPr="00A06A4C">
        <w:rPr>
          <w:b/>
          <w:sz w:val="28"/>
          <w:szCs w:val="28"/>
          <w:lang w:val="kk" w:eastAsia="en-US"/>
        </w:rPr>
        <w:t>Қолдану жөніндегі нұсқаулар</w:t>
      </w:r>
    </w:p>
    <w:p w14:paraId="5850285D" w14:textId="77777777" w:rsidR="00084A63" w:rsidRPr="00A06A4C" w:rsidRDefault="00E164C3" w:rsidP="00D80AD5">
      <w:pPr>
        <w:rPr>
          <w:b/>
          <w:i/>
          <w:sz w:val="28"/>
          <w:szCs w:val="28"/>
          <w:lang w:val="kk" w:eastAsia="en-US"/>
        </w:rPr>
      </w:pPr>
      <w:r w:rsidRPr="00A06A4C">
        <w:rPr>
          <w:b/>
          <w:i/>
          <w:sz w:val="28"/>
          <w:szCs w:val="28"/>
          <w:lang w:val="kk" w:eastAsia="en-US"/>
        </w:rPr>
        <w:t xml:space="preserve">Дозалау режимі </w:t>
      </w:r>
    </w:p>
    <w:p w14:paraId="16294F28" w14:textId="77777777" w:rsidR="003F6F17" w:rsidRPr="00A06A4C" w:rsidRDefault="00E164C3" w:rsidP="003F6F17">
      <w:pPr>
        <w:jc w:val="both"/>
        <w:rPr>
          <w:bCs/>
          <w:i/>
          <w:sz w:val="28"/>
          <w:szCs w:val="28"/>
          <w:lang w:val="kk"/>
        </w:rPr>
      </w:pPr>
      <w:bookmarkStart w:id="2" w:name="2175220274"/>
      <w:bookmarkEnd w:id="2"/>
      <w:r w:rsidRPr="00A06A4C">
        <w:rPr>
          <w:bCs/>
          <w:i/>
          <w:sz w:val="28"/>
          <w:szCs w:val="28"/>
          <w:lang w:val="kk"/>
        </w:rPr>
        <w:t xml:space="preserve">Орташа немесе жоғары қаупі бар хирургиялық араласымдар кезіндегі вена тромбоэмболиясы ауруларының профилактикасы </w:t>
      </w:r>
    </w:p>
    <w:p w14:paraId="49CE5D10" w14:textId="77777777" w:rsidR="003F6F17" w:rsidRPr="00A06A4C" w:rsidRDefault="00E164C3" w:rsidP="003F6F17">
      <w:pPr>
        <w:jc w:val="both"/>
        <w:rPr>
          <w:iCs/>
          <w:sz w:val="28"/>
          <w:szCs w:val="28"/>
          <w:lang w:val="kk"/>
        </w:rPr>
      </w:pPr>
      <w:r w:rsidRPr="00A06A4C">
        <w:rPr>
          <w:iCs/>
          <w:sz w:val="28"/>
          <w:szCs w:val="28"/>
          <w:lang w:val="kk"/>
        </w:rPr>
        <w:t>Дербес тромбоэмболия қаупі пациенттер үшін қауіпті стратификациялаудың валидацияланған моделінің көмегімен бағалануы мүмкін.</w:t>
      </w:r>
    </w:p>
    <w:p w14:paraId="0CD51D1C" w14:textId="77777777" w:rsidR="003F6F17" w:rsidRPr="00A06A4C" w:rsidRDefault="00E164C3" w:rsidP="003F6F17">
      <w:pPr>
        <w:jc w:val="both"/>
        <w:rPr>
          <w:sz w:val="28"/>
          <w:szCs w:val="28"/>
          <w:lang w:val="kk"/>
        </w:rPr>
      </w:pPr>
      <w:r w:rsidRPr="00A06A4C">
        <w:rPr>
          <w:sz w:val="28"/>
          <w:szCs w:val="28"/>
          <w:lang w:val="kk"/>
        </w:rPr>
        <w:t xml:space="preserve">- тромб түзілу қаупі орташа пациенттерге натрий эноксапаринінің ұсынылатын дозасы тәулігіне бір рет тері астына 2 000 ХБ (20 мг) құрайды. Орташа қаупі бар хирургияда 2 000 ХБ (20 мг) натрий эноксапаринімен емді операцияға дейін (хирургиялық араласымнан 2 сағат бұрын) бастаудың тиімділігі мен қауіпсіздігі дәлелденді. </w:t>
      </w:r>
    </w:p>
    <w:p w14:paraId="66CA7D08" w14:textId="77777777" w:rsidR="003F6F17" w:rsidRPr="00A06A4C" w:rsidRDefault="00E164C3" w:rsidP="003F6F17">
      <w:pPr>
        <w:jc w:val="both"/>
        <w:rPr>
          <w:sz w:val="28"/>
          <w:szCs w:val="28"/>
          <w:lang w:val="kk"/>
        </w:rPr>
      </w:pPr>
      <w:r w:rsidRPr="00A06A4C">
        <w:rPr>
          <w:sz w:val="28"/>
          <w:szCs w:val="28"/>
          <w:lang w:val="kk"/>
        </w:rPr>
        <w:t>- орташа қаупі бар пациенттерде натрий эноксапаринімен емдеуді сауығу статусына (қозғалыс функциясына) қарамастан кем дегенде 7-10 күн бойы жалғастыру керек. Профилактиканы пациенттің қозғалыс белсенділігі елеулі жақсарғанға дейін жалғастыру қажет.</w:t>
      </w:r>
    </w:p>
    <w:p w14:paraId="012B8F26" w14:textId="77777777" w:rsidR="003F6F17" w:rsidRPr="00A06A4C" w:rsidRDefault="00E164C3" w:rsidP="003F6F17">
      <w:pPr>
        <w:jc w:val="both"/>
        <w:rPr>
          <w:sz w:val="28"/>
          <w:szCs w:val="28"/>
          <w:lang w:val="kk"/>
        </w:rPr>
      </w:pPr>
      <w:r w:rsidRPr="00A06A4C">
        <w:rPr>
          <w:sz w:val="28"/>
          <w:szCs w:val="28"/>
          <w:lang w:val="kk"/>
        </w:rPr>
        <w:t>- тромб түзілу қаупі жоғары пациенттерге ұсынылатын доза тәулігіне 1 рет тері астына 4 000 ХБ (40 мг) құрайды, хирургиялық араласымнан 12 сағат бұрын бастаған дұрыс. Натрий эноксапаринімен операцияға дейін профилактикалық емдеуді операцияға дейінгі 12 сағаттан ертерек бастау қажет болған жағдайда (мысалы, кейінге қалдырылған ортопедиялық операцияны күткен, жоғары қаупі бар пациент), соңғы инъекция операцияға дейінгі 12 сағаттан кешіктірмей енгізілуі тиіс және инъекциялар операциядан кейін 12 сағат өткен соң қайта жаңғыртылады.</w:t>
      </w:r>
    </w:p>
    <w:p w14:paraId="7F1F6637" w14:textId="77777777" w:rsidR="003F6F17" w:rsidRPr="00A06A4C" w:rsidRDefault="00E164C3" w:rsidP="00A06A4C">
      <w:pPr>
        <w:numPr>
          <w:ilvl w:val="0"/>
          <w:numId w:val="22"/>
        </w:numPr>
        <w:ind w:left="0" w:hanging="284"/>
        <w:jc w:val="both"/>
        <w:rPr>
          <w:sz w:val="28"/>
          <w:szCs w:val="28"/>
          <w:lang w:val="kk"/>
        </w:rPr>
      </w:pPr>
      <w:r w:rsidRPr="00A06A4C">
        <w:rPr>
          <w:sz w:val="28"/>
          <w:szCs w:val="28"/>
          <w:lang w:val="kk"/>
        </w:rPr>
        <w:t>Ауқымды ортопедиялық операцияны бастан өткерген пациенттер үшін, тромбоздардың 5 аптаға дейінгі ұзартылған профилактикасы ұсынылады.</w:t>
      </w:r>
    </w:p>
    <w:p w14:paraId="72A13BC6" w14:textId="77777777" w:rsidR="003F6F17" w:rsidRPr="00A06A4C" w:rsidRDefault="00E164C3" w:rsidP="00A06A4C">
      <w:pPr>
        <w:numPr>
          <w:ilvl w:val="0"/>
          <w:numId w:val="22"/>
        </w:numPr>
        <w:ind w:left="0" w:hanging="284"/>
        <w:jc w:val="both"/>
        <w:rPr>
          <w:sz w:val="28"/>
          <w:szCs w:val="28"/>
          <w:lang w:val="kk"/>
        </w:rPr>
      </w:pPr>
      <w:r w:rsidRPr="00A06A4C">
        <w:rPr>
          <w:sz w:val="28"/>
          <w:szCs w:val="28"/>
          <w:lang w:val="kk"/>
        </w:rPr>
        <w:t>Қатерлі жаңа түзілімдерге байланысты құрсақ қуысы ағзаларына немесе жамбас ағзаларына операция жасатқан,  веналық тромбоэмболияның даму қаупі жоғары пациенттерде тромбоздардың 4 аптаға дейінгі ұзартылған профилактикасы ұсынылады.</w:t>
      </w:r>
    </w:p>
    <w:p w14:paraId="2E7F009C" w14:textId="77777777" w:rsidR="003F6F17" w:rsidRPr="00A06A4C" w:rsidRDefault="00E164C3" w:rsidP="003F6F17">
      <w:pPr>
        <w:jc w:val="both"/>
        <w:rPr>
          <w:i/>
          <w:sz w:val="28"/>
          <w:szCs w:val="28"/>
          <w:lang w:val="kk"/>
        </w:rPr>
      </w:pPr>
      <w:r w:rsidRPr="00A06A4C">
        <w:rPr>
          <w:i/>
          <w:sz w:val="28"/>
          <w:szCs w:val="28"/>
          <w:lang w:val="kk"/>
        </w:rPr>
        <w:t xml:space="preserve">Терапиялық пациенттердегі вена тромбоэмболиясы ауруларының профилактикасы </w:t>
      </w:r>
    </w:p>
    <w:p w14:paraId="594726E1" w14:textId="77777777" w:rsidR="003F6F17" w:rsidRPr="00A06A4C" w:rsidRDefault="00E164C3" w:rsidP="003F6F17">
      <w:pPr>
        <w:jc w:val="both"/>
        <w:rPr>
          <w:sz w:val="28"/>
          <w:szCs w:val="28"/>
          <w:lang w:val="kk"/>
        </w:rPr>
      </w:pPr>
      <w:r w:rsidRPr="00A06A4C">
        <w:rPr>
          <w:sz w:val="28"/>
          <w:szCs w:val="28"/>
          <w:lang w:val="kk"/>
        </w:rPr>
        <w:lastRenderedPageBreak/>
        <w:t xml:space="preserve">Натрий эноксапаринінің ұсынылатын дозасы 4 000 ХБ (40 мг) құрайды, тәулігіне 1 рет теріастылық инъекция түрінде енгізіледі. </w:t>
      </w:r>
    </w:p>
    <w:p w14:paraId="19AB6726" w14:textId="77777777" w:rsidR="003F6F17" w:rsidRPr="00A06A4C" w:rsidRDefault="00E164C3" w:rsidP="003F6F17">
      <w:pPr>
        <w:jc w:val="both"/>
        <w:rPr>
          <w:sz w:val="28"/>
          <w:szCs w:val="28"/>
          <w:lang w:val="kk"/>
        </w:rPr>
      </w:pPr>
      <w:r w:rsidRPr="00A06A4C">
        <w:rPr>
          <w:sz w:val="28"/>
          <w:szCs w:val="28"/>
          <w:lang w:val="kk"/>
        </w:rPr>
        <w:t xml:space="preserve">Натрий эноксапаринімен емдеу сауығу статусына (қозғалыс функциясына) қарамастан кем дегенде 6-14 күнге тағайындалады. Қазіргі сәтте 14 күннен астам уақыт бойы жүргізілетін терапияға қатысты пайдасы туралы деректер жоқ. </w:t>
      </w:r>
    </w:p>
    <w:p w14:paraId="5FA0D560" w14:textId="77777777" w:rsidR="003F6F17" w:rsidRPr="00A06A4C" w:rsidRDefault="00E164C3" w:rsidP="003F6F17">
      <w:pPr>
        <w:jc w:val="both"/>
        <w:rPr>
          <w:i/>
          <w:sz w:val="28"/>
          <w:szCs w:val="28"/>
          <w:lang w:val="kk"/>
        </w:rPr>
      </w:pPr>
      <w:r w:rsidRPr="00A06A4C">
        <w:rPr>
          <w:bCs/>
          <w:i/>
          <w:sz w:val="28"/>
          <w:szCs w:val="28"/>
          <w:lang w:val="kk"/>
        </w:rPr>
        <w:t xml:space="preserve">Тереңдегі веналар тромбозын (ТВТ) өкпе артериясының тромбоэмболиясымен (ӨАТЭ) бірге емдеу  </w:t>
      </w:r>
    </w:p>
    <w:p w14:paraId="3826A309" w14:textId="77777777" w:rsidR="003F6F17" w:rsidRPr="00A06A4C" w:rsidRDefault="00E164C3" w:rsidP="003F6F17">
      <w:pPr>
        <w:jc w:val="both"/>
        <w:rPr>
          <w:sz w:val="28"/>
          <w:szCs w:val="28"/>
          <w:lang w:val="kk"/>
        </w:rPr>
      </w:pPr>
      <w:r w:rsidRPr="00A06A4C">
        <w:rPr>
          <w:sz w:val="28"/>
          <w:szCs w:val="28"/>
          <w:lang w:val="kk"/>
        </w:rPr>
        <w:t>Натрий эноксапарині тәулігіне бір рет 150 ХБ/кг (1.5 мг/кг) дозада немесе тәулігіне екі рет 100 ХБ/кг (1 мг/кг) дозада тері астына енгізіледі.</w:t>
      </w:r>
    </w:p>
    <w:p w14:paraId="3D495DF8" w14:textId="77777777" w:rsidR="003F6F17" w:rsidRPr="00A06A4C" w:rsidRDefault="00E164C3" w:rsidP="003F6F17">
      <w:pPr>
        <w:jc w:val="both"/>
        <w:rPr>
          <w:sz w:val="28"/>
          <w:szCs w:val="28"/>
          <w:lang w:val="kk"/>
        </w:rPr>
      </w:pPr>
      <w:r w:rsidRPr="00A06A4C">
        <w:rPr>
          <w:sz w:val="28"/>
          <w:szCs w:val="28"/>
          <w:lang w:val="kk"/>
        </w:rPr>
        <w:t xml:space="preserve">Режимді дәрігер тромбоэмболиялық асқынулар қаупіне және қан кету қаупіне баға беруді қоса, жекелей баға беру негізінде таңдауы тиіс. Веналық тромбоэмболияның қайталану қаупі төмен асқынуларсыз пациенттерге 150 ХБ/кг (1.5 мг/кг) дозаны тағайындау керек, ол тәулігіне бір рет енгізіледі. Барлық басқа пациенттерге (сондай-ақ семіздігі, симптоматикалық ӨАТЭ, қатерлі жаңа түзілімі, қайталанған веналық тромбоэмболиясы немесе проксимальді тромбозы (мықын венасының тромбозы) бар) 100 ХБ/кг (1 мг/кг) дозаны тағайындау керек, ол тәулігіне екі рет енгізіледі. Натрий эноксапаринімен емдеу орташа 10 күнге тағайындалады. Қажет болса пероральді антикоагулянттық емді бастау керек. </w:t>
      </w:r>
    </w:p>
    <w:p w14:paraId="42A6DACB" w14:textId="77777777" w:rsidR="003F6F17" w:rsidRPr="00A06A4C" w:rsidRDefault="00E164C3" w:rsidP="003F6F17">
      <w:pPr>
        <w:jc w:val="both"/>
        <w:rPr>
          <w:sz w:val="28"/>
          <w:szCs w:val="28"/>
          <w:lang w:val="kk"/>
        </w:rPr>
      </w:pPr>
      <w:r w:rsidRPr="00A06A4C">
        <w:rPr>
          <w:sz w:val="28"/>
          <w:szCs w:val="28"/>
          <w:lang w:val="kk"/>
        </w:rPr>
        <w:t>Терең вена тромбозын (ТВТ) және өкпе артериясының тромбоэмболиясын (ӨАТЭ) ұзақ уақыт емдегенде және белсенді онкологиялық патологиясы бар пациенттерде олардың қайталануының профилактикасында дәрігерлер пациенттің жеке тромбоэмболиялық және қан кету қаупін мұқият бағалауы керек.</w:t>
      </w:r>
    </w:p>
    <w:p w14:paraId="16248693" w14:textId="77777777" w:rsidR="003F6F17" w:rsidRPr="00A06A4C" w:rsidRDefault="00E164C3" w:rsidP="003F6F17">
      <w:pPr>
        <w:jc w:val="both"/>
        <w:rPr>
          <w:sz w:val="28"/>
          <w:szCs w:val="28"/>
          <w:lang w:val="kk"/>
        </w:rPr>
      </w:pPr>
      <w:r w:rsidRPr="00A06A4C">
        <w:rPr>
          <w:sz w:val="28"/>
          <w:szCs w:val="28"/>
          <w:lang w:val="kk"/>
        </w:rPr>
        <w:t>Ұсынылатын доза 100 ХБ/кг (1 мг/кг) құрайды, күніне екі рет 5 - 10 күн ішінде СК инъекциясы арқылы енгізіледі, содан кейін 6 айға дейін СК инъекциялары арқылы күніне бір рет 150 ХБ/кг (1,5 мг/кг). 6 ай емдегеннен кейін үздіксіз антикоагулянттық емнің пайдасын қайта қарау керек.</w:t>
      </w:r>
    </w:p>
    <w:p w14:paraId="124B6D4D" w14:textId="77777777" w:rsidR="003F6F17" w:rsidRPr="00A06A4C" w:rsidRDefault="00E164C3" w:rsidP="003F6F17">
      <w:pPr>
        <w:jc w:val="both"/>
        <w:rPr>
          <w:i/>
          <w:sz w:val="28"/>
          <w:szCs w:val="28"/>
          <w:lang w:val="kk"/>
        </w:rPr>
      </w:pPr>
      <w:r w:rsidRPr="00A06A4C">
        <w:rPr>
          <w:bCs/>
          <w:i/>
          <w:sz w:val="28"/>
          <w:szCs w:val="28"/>
          <w:lang w:val="kk"/>
        </w:rPr>
        <w:t xml:space="preserve">Гемодиализ кезіндегі тромб түзілуінің профилактикасы </w:t>
      </w:r>
    </w:p>
    <w:p w14:paraId="72ACE9C7" w14:textId="77777777" w:rsidR="003F6F17" w:rsidRPr="00A06A4C" w:rsidRDefault="00E164C3" w:rsidP="003F6F17">
      <w:pPr>
        <w:jc w:val="both"/>
        <w:rPr>
          <w:sz w:val="28"/>
          <w:szCs w:val="28"/>
          <w:lang w:val="kk"/>
        </w:rPr>
      </w:pPr>
      <w:r w:rsidRPr="00A06A4C">
        <w:rPr>
          <w:sz w:val="28"/>
          <w:szCs w:val="28"/>
          <w:lang w:val="kk"/>
        </w:rPr>
        <w:t>Натрий эноксапаринінің ұсынылатын дозасы 100 ХБ/кг (1 мг/кг) құрайды. Қан кетудің даму қаупі жоғары гемодиализдегі пациенттерде доза 50 ХБ/кг (0.5 мг/кг) (тамыр арқылы қосарлы енгізу жолы), не болмаса 75 ХБ/кг (0.75 мг/кг) (тамыр арқылы бір енгізу жолы) дейін төмендетілуі тиіс.</w:t>
      </w:r>
    </w:p>
    <w:p w14:paraId="6E916A15" w14:textId="77777777" w:rsidR="003F6F17" w:rsidRPr="00A06A4C" w:rsidRDefault="00E164C3" w:rsidP="003F6F17">
      <w:pPr>
        <w:jc w:val="both"/>
        <w:rPr>
          <w:sz w:val="28"/>
          <w:szCs w:val="28"/>
          <w:lang w:val="kk"/>
        </w:rPr>
      </w:pPr>
      <w:r w:rsidRPr="00A06A4C">
        <w:rPr>
          <w:sz w:val="28"/>
          <w:szCs w:val="28"/>
          <w:lang w:val="kk"/>
        </w:rPr>
        <w:t>Гемодиализ кезінде натрий эноксапаринін диализдік контурдың артериялық желісіне диализ сеансының бас кезінде енгізеді. Әдетте бұл доза тек қана 4 сағатқа созылатын гемодиализ сеанстары үшін тиімді. Алайда фибриндік сақиналар анықталғанда, мысалы, әдеттегіден ұзағырақ сеанстан кейін, тағы да 50-100 ХБ/кг (0.5-1 мг/кг) дозаны тағайындауға болады. Натрий эноксапаринін  профилактика немесе емдеу үшін және  гемодиализ сессиясы кезінде қолданған пациенттер жөнінде деректер жоқ.</w:t>
      </w:r>
    </w:p>
    <w:p w14:paraId="5B9F8BF5" w14:textId="77777777" w:rsidR="003F6F17" w:rsidRPr="00A06A4C" w:rsidRDefault="00E164C3" w:rsidP="003F6F17">
      <w:pPr>
        <w:jc w:val="both"/>
        <w:rPr>
          <w:i/>
          <w:sz w:val="28"/>
          <w:szCs w:val="28"/>
          <w:lang w:val="kk"/>
        </w:rPr>
      </w:pPr>
      <w:r w:rsidRPr="00A06A4C">
        <w:rPr>
          <w:bCs/>
          <w:i/>
          <w:sz w:val="28"/>
          <w:szCs w:val="28"/>
          <w:lang w:val="kk"/>
        </w:rPr>
        <w:lastRenderedPageBreak/>
        <w:t xml:space="preserve">Жедел коронарлық синдром: тұрақсыз стенокардияны және ST сегментінің көтерілуінсіз миокард инфарктісін емдеу </w:t>
      </w:r>
    </w:p>
    <w:p w14:paraId="12C9183D" w14:textId="77777777" w:rsidR="003F6F17" w:rsidRPr="00A06A4C" w:rsidRDefault="00E164C3" w:rsidP="003F6F17">
      <w:pPr>
        <w:jc w:val="both"/>
        <w:rPr>
          <w:sz w:val="28"/>
          <w:szCs w:val="28"/>
          <w:lang w:val="kk"/>
        </w:rPr>
      </w:pPr>
      <w:r w:rsidRPr="00A06A4C">
        <w:rPr>
          <w:bCs/>
          <w:sz w:val="28"/>
          <w:szCs w:val="28"/>
          <w:lang w:val="kk"/>
        </w:rPr>
        <w:t>Тұрақсыз стенокардияны және ST сегментінің көтерілуінсіз миокард инфарктісін емдеу үшін ұсынылатын дозасы 100 ХБ/кг (1 мг/кг) эноксапаринді құрайды, ол антитромбоцитарлық еммен біріктіріліп тері астына тәулігіне екі рет 12 сағаттық аралықпен  енгізіледі.</w:t>
      </w:r>
    </w:p>
    <w:p w14:paraId="47B394A8" w14:textId="77777777" w:rsidR="003F6F17" w:rsidRPr="00A06A4C" w:rsidRDefault="00E164C3" w:rsidP="003F6F17">
      <w:pPr>
        <w:jc w:val="both"/>
        <w:rPr>
          <w:sz w:val="28"/>
          <w:szCs w:val="28"/>
          <w:lang w:val="kk"/>
        </w:rPr>
      </w:pPr>
      <w:r w:rsidRPr="00A06A4C">
        <w:rPr>
          <w:sz w:val="28"/>
          <w:szCs w:val="28"/>
          <w:lang w:val="kk"/>
        </w:rPr>
        <w:t xml:space="preserve">Емдеуді кем дегенде 2 тәулік бойы демеп тұру және клиникалық тұрақтануға дейін жалғастыру керек. Емнің ұсынылатын ұзақтығы 2-ден  8 күнге дейін. </w:t>
      </w:r>
    </w:p>
    <w:p w14:paraId="4F5AC939" w14:textId="77777777" w:rsidR="003F6F17" w:rsidRPr="00A06A4C" w:rsidRDefault="00E164C3" w:rsidP="003F6F17">
      <w:pPr>
        <w:jc w:val="both"/>
        <w:rPr>
          <w:sz w:val="28"/>
          <w:szCs w:val="28"/>
          <w:lang w:val="kk"/>
        </w:rPr>
      </w:pPr>
      <w:r w:rsidRPr="00A06A4C">
        <w:rPr>
          <w:sz w:val="28"/>
          <w:szCs w:val="28"/>
          <w:lang w:val="kk"/>
        </w:rPr>
        <w:t>Қарсы көрсетілімдері жоқ барлық пациенттерге ацетилсалицил қышқылымен емдеуді 150-300 мг бастапқы пероральді қанықтырғыш дозада (бұдан бұрын ацетилсалицил қышқылын қабылдамаған пациенттерде) және емдеу стратегиясына байланыссыз күніне 75-325 мг демеуші дозада  ұзақ уақытқа бастау ұсынылады.</w:t>
      </w:r>
    </w:p>
    <w:p w14:paraId="68E66187" w14:textId="77777777" w:rsidR="003F6F17" w:rsidRPr="00A06A4C" w:rsidRDefault="00E164C3" w:rsidP="003F6F17">
      <w:pPr>
        <w:jc w:val="both"/>
        <w:rPr>
          <w:sz w:val="28"/>
          <w:szCs w:val="28"/>
          <w:lang w:val="kk"/>
        </w:rPr>
      </w:pPr>
      <w:r w:rsidRPr="00A06A4C">
        <w:rPr>
          <w:sz w:val="28"/>
          <w:szCs w:val="28"/>
          <w:lang w:val="kk"/>
        </w:rPr>
        <w:t>• ≥ 75 жастағы пациенттерге арналған дозасы «Егде жастағы пациенттер» бөлімінде көрсетілген.</w:t>
      </w:r>
    </w:p>
    <w:p w14:paraId="69385F5E" w14:textId="77777777" w:rsidR="003F6F17" w:rsidRPr="00A06A4C" w:rsidRDefault="00E164C3" w:rsidP="003F6F17">
      <w:pPr>
        <w:jc w:val="both"/>
        <w:rPr>
          <w:sz w:val="28"/>
          <w:szCs w:val="28"/>
          <w:lang w:val="kk"/>
        </w:rPr>
      </w:pPr>
      <w:r w:rsidRPr="00A06A4C">
        <w:rPr>
          <w:sz w:val="28"/>
          <w:szCs w:val="28"/>
          <w:lang w:val="kk"/>
        </w:rPr>
        <w:t>• ТКА (тері арқылы коронарлық араласу) жүргізілетін пациенттерге, егер натрий эноксапариннің соңғы дозасы тері астына баллонды үрлегенге дейін 8 сағаттан аз уақыт бұрын енгізілген болса, қосымша доза қажет емес. Егер тері астына енгізудің соңғы дозасы баллонды үрлегенге дейін 8 сағаттан көп уақыт бұрын енгізілген болса, натрий эноксапариннің 30 ХБ/кг (0,3 мг/кг) венаішілік болюсін енгізу керек.</w:t>
      </w:r>
    </w:p>
    <w:p w14:paraId="32AF857F" w14:textId="77777777" w:rsidR="003F6F17" w:rsidRPr="00A06A4C" w:rsidRDefault="00E164C3" w:rsidP="003F6F17">
      <w:pPr>
        <w:jc w:val="both"/>
        <w:rPr>
          <w:i/>
          <w:sz w:val="28"/>
          <w:szCs w:val="28"/>
          <w:lang w:val="kk"/>
        </w:rPr>
      </w:pPr>
      <w:r w:rsidRPr="00A06A4C">
        <w:rPr>
          <w:i/>
          <w:sz w:val="28"/>
          <w:szCs w:val="28"/>
          <w:lang w:val="kk"/>
        </w:rPr>
        <w:t xml:space="preserve">Педиатрияда қолдану </w:t>
      </w:r>
    </w:p>
    <w:p w14:paraId="12A125A4" w14:textId="77777777" w:rsidR="003F6F17" w:rsidRPr="00A06A4C" w:rsidRDefault="00E164C3" w:rsidP="003F6F17">
      <w:pPr>
        <w:jc w:val="both"/>
        <w:rPr>
          <w:sz w:val="28"/>
          <w:szCs w:val="28"/>
          <w:lang w:val="kk"/>
        </w:rPr>
      </w:pPr>
      <w:r w:rsidRPr="00A06A4C">
        <w:rPr>
          <w:sz w:val="28"/>
          <w:szCs w:val="28"/>
          <w:lang w:val="kk"/>
        </w:rPr>
        <w:t>Балаларда натрий эноксапаринінің қауіпсіздігі мен тиімділігі анықталмаған.</w:t>
      </w:r>
    </w:p>
    <w:p w14:paraId="4B2DC983" w14:textId="77777777" w:rsidR="003F6F17" w:rsidRPr="00A06A4C" w:rsidRDefault="00E164C3" w:rsidP="003F6F17">
      <w:pPr>
        <w:jc w:val="both"/>
        <w:rPr>
          <w:i/>
          <w:sz w:val="28"/>
          <w:szCs w:val="28"/>
          <w:lang w:val="kk"/>
        </w:rPr>
      </w:pPr>
      <w:r w:rsidRPr="00A06A4C">
        <w:rPr>
          <w:i/>
          <w:sz w:val="28"/>
          <w:szCs w:val="28"/>
          <w:lang w:val="kk"/>
        </w:rPr>
        <w:t xml:space="preserve">Егде жастағы пациенттерге </w:t>
      </w:r>
    </w:p>
    <w:p w14:paraId="369884A0" w14:textId="77777777" w:rsidR="003F6F17" w:rsidRPr="00A06A4C" w:rsidRDefault="00E164C3" w:rsidP="003F6F17">
      <w:pPr>
        <w:jc w:val="both"/>
        <w:rPr>
          <w:sz w:val="28"/>
          <w:szCs w:val="28"/>
          <w:lang w:val="kk"/>
        </w:rPr>
      </w:pPr>
      <w:r w:rsidRPr="00A06A4C">
        <w:rPr>
          <w:sz w:val="28"/>
          <w:szCs w:val="28"/>
          <w:lang w:val="kk"/>
        </w:rPr>
        <w:t>ST сегментінің көтерілуімен миокард инфарктісінен басқа барлық көрсетілімдер бойынша, егде жастағы пациенттерде, егер бүйрек функциясы бұзылмаған болса, дозасын азайту қажет емес.</w:t>
      </w:r>
    </w:p>
    <w:p w14:paraId="1424C665" w14:textId="77777777" w:rsidR="003F6F17" w:rsidRPr="00A06A4C" w:rsidRDefault="00E164C3" w:rsidP="003F6F17">
      <w:pPr>
        <w:jc w:val="both"/>
        <w:rPr>
          <w:sz w:val="28"/>
          <w:szCs w:val="28"/>
          <w:lang w:val="kk"/>
        </w:rPr>
      </w:pPr>
      <w:r w:rsidRPr="00A06A4C">
        <w:rPr>
          <w:sz w:val="28"/>
          <w:szCs w:val="28"/>
          <w:lang w:val="kk"/>
        </w:rPr>
        <w:t xml:space="preserve">≥ 75 жастағы егде пациенттерде ST сегментінің көтерілуімен жедел миокард инфарктісін емдеу үшін бастапқы венаішілік болюсті қолданбау керек.  Бастапқы доза 75 ХБ/кг (0,75 мг/кг) құрауы тиіс, тері астына әр 12 сағатта енгізілуі (максимум 7500 ХБ (75 мг) алғашқы екі дозаның әрқайсысы тері астына, содан кейін қалған дозалар үшін 75 ХБ/кг (0,75 мг/кг) тері астына). </w:t>
      </w:r>
    </w:p>
    <w:p w14:paraId="61DBC31E" w14:textId="77777777" w:rsidR="003F6F17" w:rsidRPr="00A06A4C" w:rsidRDefault="00E164C3" w:rsidP="003F6F17">
      <w:pPr>
        <w:jc w:val="both"/>
        <w:rPr>
          <w:i/>
          <w:sz w:val="28"/>
          <w:szCs w:val="28"/>
          <w:lang w:val="kk"/>
        </w:rPr>
      </w:pPr>
      <w:r w:rsidRPr="00A06A4C">
        <w:rPr>
          <w:i/>
          <w:sz w:val="28"/>
          <w:szCs w:val="28"/>
          <w:lang w:val="kk"/>
        </w:rPr>
        <w:t>Бауыр функциясының бұзылуы</w:t>
      </w:r>
    </w:p>
    <w:p w14:paraId="46D9391A" w14:textId="77777777" w:rsidR="003F6F17" w:rsidRPr="00A06A4C" w:rsidRDefault="00E164C3" w:rsidP="003F6F17">
      <w:pPr>
        <w:jc w:val="both"/>
        <w:rPr>
          <w:sz w:val="28"/>
          <w:szCs w:val="28"/>
          <w:lang w:val="kk"/>
        </w:rPr>
      </w:pPr>
      <w:r w:rsidRPr="00A06A4C">
        <w:rPr>
          <w:sz w:val="28"/>
          <w:szCs w:val="28"/>
          <w:lang w:val="kk"/>
        </w:rPr>
        <w:t>Бауыр функциясы бұзылған пациенттер үшін деректер шектеулі, мұндай пациенттерге препаратты сақтықпен тағайындау керек.</w:t>
      </w:r>
    </w:p>
    <w:p w14:paraId="1670872B" w14:textId="77777777" w:rsidR="003F6F17" w:rsidRPr="00A06A4C" w:rsidRDefault="00E164C3" w:rsidP="003F6F17">
      <w:pPr>
        <w:jc w:val="both"/>
        <w:rPr>
          <w:i/>
          <w:sz w:val="28"/>
          <w:szCs w:val="28"/>
          <w:lang w:val="kk"/>
        </w:rPr>
      </w:pPr>
      <w:r w:rsidRPr="00A06A4C">
        <w:rPr>
          <w:i/>
          <w:sz w:val="28"/>
          <w:szCs w:val="28"/>
          <w:lang w:val="kk"/>
        </w:rPr>
        <w:t xml:space="preserve">Бүйрек функциясының бұзылуы </w:t>
      </w:r>
    </w:p>
    <w:p w14:paraId="75FE4599" w14:textId="77777777" w:rsidR="003F6F17" w:rsidRPr="00A06A4C" w:rsidRDefault="00E164C3" w:rsidP="003F6F17">
      <w:pPr>
        <w:jc w:val="both"/>
        <w:rPr>
          <w:sz w:val="28"/>
          <w:szCs w:val="28"/>
          <w:lang w:val="kk"/>
        </w:rPr>
      </w:pPr>
      <w:r w:rsidRPr="00A06A4C">
        <w:rPr>
          <w:sz w:val="28"/>
          <w:szCs w:val="28"/>
          <w:lang w:val="kk"/>
        </w:rPr>
        <w:t>Натрий эноксапарині бүйрек ауруының терминальді сатысындағы (креатинин клиренсі &lt;15 мл/мин) пациенттерге, осы популяцияда гемодиализ жүргізу кезіндегі тромб түзілуінің профилактикасы бойынша деректерден өзге деректердің болмауына байланысты, ұсынылмайды.</w:t>
      </w:r>
    </w:p>
    <w:p w14:paraId="36C0FBA3" w14:textId="77777777" w:rsidR="003F6F17" w:rsidRPr="00A06A4C" w:rsidRDefault="00E164C3" w:rsidP="003F6F17">
      <w:pPr>
        <w:jc w:val="both"/>
        <w:rPr>
          <w:sz w:val="28"/>
          <w:szCs w:val="28"/>
          <w:lang w:val="kk"/>
        </w:rPr>
      </w:pPr>
      <w:r w:rsidRPr="00A06A4C">
        <w:rPr>
          <w:sz w:val="28"/>
          <w:szCs w:val="28"/>
          <w:lang w:val="kk"/>
        </w:rPr>
        <w:lastRenderedPageBreak/>
        <w:t>Бүйрек функциясының ауыр бұзылуы бар (креатинин клиренсі 15-30 мл/мин) пациенттер үшін препаратты дозалау кестесі:</w:t>
      </w:r>
    </w:p>
    <w:tbl>
      <w:tblPr>
        <w:tblW w:w="90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395"/>
        <w:gridCol w:w="4677"/>
      </w:tblGrid>
      <w:tr w:rsidR="009F656B" w:rsidRPr="00A06A4C" w14:paraId="7E6B7EE6" w14:textId="77777777" w:rsidTr="00425BD0">
        <w:trPr>
          <w:trHeight w:val="423"/>
        </w:trPr>
        <w:tc>
          <w:tcPr>
            <w:tcW w:w="4395" w:type="dxa"/>
            <w:tcBorders>
              <w:top w:val="single" w:sz="8" w:space="0" w:color="auto"/>
              <w:left w:val="single" w:sz="8" w:space="0" w:color="auto"/>
              <w:bottom w:val="single" w:sz="8" w:space="0" w:color="auto"/>
              <w:right w:val="single" w:sz="8" w:space="0" w:color="auto"/>
            </w:tcBorders>
            <w:noWrap/>
            <w:tcMar>
              <w:top w:w="10" w:type="dxa"/>
              <w:left w:w="10" w:type="dxa"/>
              <w:bottom w:w="0" w:type="dxa"/>
              <w:right w:w="10" w:type="dxa"/>
            </w:tcMar>
            <w:vAlign w:val="center"/>
          </w:tcPr>
          <w:p w14:paraId="24827C33" w14:textId="77777777" w:rsidR="003F6F17" w:rsidRPr="00A06A4C" w:rsidRDefault="00E164C3" w:rsidP="00425BD0">
            <w:pPr>
              <w:jc w:val="both"/>
              <w:rPr>
                <w:b/>
                <w:sz w:val="28"/>
                <w:szCs w:val="28"/>
              </w:rPr>
            </w:pPr>
            <w:r w:rsidRPr="00A06A4C">
              <w:rPr>
                <w:b/>
                <w:sz w:val="28"/>
                <w:szCs w:val="28"/>
                <w:lang w:val="kk"/>
              </w:rPr>
              <w:t xml:space="preserve">Көрсетілімдер </w:t>
            </w:r>
          </w:p>
        </w:tc>
        <w:tc>
          <w:tcPr>
            <w:tcW w:w="4677" w:type="dxa"/>
            <w:tcBorders>
              <w:top w:val="single" w:sz="8" w:space="0" w:color="auto"/>
              <w:left w:val="single" w:sz="8" w:space="0" w:color="auto"/>
              <w:bottom w:val="single" w:sz="8" w:space="0" w:color="auto"/>
              <w:right w:val="single" w:sz="8" w:space="0" w:color="auto"/>
            </w:tcBorders>
            <w:noWrap/>
            <w:tcMar>
              <w:top w:w="10" w:type="dxa"/>
              <w:left w:w="10" w:type="dxa"/>
              <w:bottom w:w="0" w:type="dxa"/>
              <w:right w:w="10" w:type="dxa"/>
            </w:tcMar>
            <w:vAlign w:val="center"/>
          </w:tcPr>
          <w:p w14:paraId="3CE37E27" w14:textId="77777777" w:rsidR="003F6F17" w:rsidRPr="00A06A4C" w:rsidRDefault="00E164C3" w:rsidP="00425BD0">
            <w:pPr>
              <w:jc w:val="both"/>
              <w:rPr>
                <w:b/>
                <w:sz w:val="28"/>
                <w:szCs w:val="28"/>
              </w:rPr>
            </w:pPr>
            <w:r w:rsidRPr="00A06A4C">
              <w:rPr>
                <w:b/>
                <w:sz w:val="28"/>
                <w:szCs w:val="28"/>
                <w:lang w:val="kk"/>
              </w:rPr>
              <w:t>Дозалау режимі</w:t>
            </w:r>
          </w:p>
        </w:tc>
      </w:tr>
      <w:tr w:rsidR="009F656B" w:rsidRPr="00A06A4C" w14:paraId="7520B61B" w14:textId="77777777" w:rsidTr="00425BD0">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7CF02A7F" w14:textId="77777777" w:rsidR="003F6F17" w:rsidRPr="00A06A4C" w:rsidRDefault="00E164C3" w:rsidP="00425BD0">
            <w:pPr>
              <w:jc w:val="both"/>
              <w:rPr>
                <w:sz w:val="28"/>
                <w:szCs w:val="28"/>
              </w:rPr>
            </w:pPr>
            <w:r w:rsidRPr="00A06A4C">
              <w:rPr>
                <w:sz w:val="28"/>
                <w:szCs w:val="28"/>
                <w:lang w:val="kk"/>
              </w:rPr>
              <w:t xml:space="preserve">Вена тромбоэмболиясы ауруының профилактикасы </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249B4E89" w14:textId="77777777" w:rsidR="003F6F17" w:rsidRPr="00A06A4C" w:rsidRDefault="00E164C3" w:rsidP="00425BD0">
            <w:pPr>
              <w:jc w:val="both"/>
              <w:rPr>
                <w:sz w:val="28"/>
                <w:szCs w:val="28"/>
              </w:rPr>
            </w:pPr>
            <w:r w:rsidRPr="00A06A4C">
              <w:rPr>
                <w:sz w:val="28"/>
                <w:szCs w:val="28"/>
                <w:lang w:val="kk"/>
              </w:rPr>
              <w:t>Тәулігіне бір рет 2 000 ХБ (20 мг) тері астына</w:t>
            </w:r>
          </w:p>
        </w:tc>
      </w:tr>
      <w:tr w:rsidR="009F656B" w:rsidRPr="00A06A4C" w14:paraId="12E62D57" w14:textId="77777777" w:rsidTr="00425BD0">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02F72FEF" w14:textId="77777777" w:rsidR="003F6F17" w:rsidRPr="00A06A4C" w:rsidRDefault="00E164C3" w:rsidP="00425BD0">
            <w:pPr>
              <w:jc w:val="both"/>
              <w:rPr>
                <w:sz w:val="28"/>
                <w:szCs w:val="28"/>
              </w:rPr>
            </w:pPr>
            <w:r w:rsidRPr="00A06A4C">
              <w:rPr>
                <w:sz w:val="28"/>
                <w:szCs w:val="28"/>
                <w:lang w:val="kk"/>
              </w:rPr>
              <w:t>Тереңдегі веналар тромбозын және  өкпе артериясының  тромбоэмболиясын емдеу</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5FF69CB1" w14:textId="77777777" w:rsidR="003F6F17" w:rsidRPr="00A06A4C" w:rsidRDefault="00E164C3" w:rsidP="00425BD0">
            <w:pPr>
              <w:jc w:val="both"/>
              <w:rPr>
                <w:sz w:val="28"/>
                <w:szCs w:val="28"/>
              </w:rPr>
            </w:pPr>
            <w:r w:rsidRPr="00A06A4C">
              <w:rPr>
                <w:sz w:val="28"/>
                <w:szCs w:val="28"/>
                <w:lang w:val="kk"/>
              </w:rPr>
              <w:t>Тәулігіне бір рет дене салмағына 100 ХБ/кг (1 мг/кг) тері астына</w:t>
            </w:r>
          </w:p>
        </w:tc>
      </w:tr>
      <w:tr w:rsidR="009F656B" w:rsidRPr="00A06A4C" w14:paraId="005F92CF" w14:textId="77777777" w:rsidTr="00425BD0">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23661077" w14:textId="77777777" w:rsidR="000F1804" w:rsidRPr="00A06A4C" w:rsidRDefault="00E164C3" w:rsidP="000F1804">
            <w:pPr>
              <w:jc w:val="both"/>
              <w:rPr>
                <w:sz w:val="28"/>
                <w:szCs w:val="28"/>
              </w:rPr>
            </w:pPr>
            <w:r w:rsidRPr="00A06A4C">
              <w:rPr>
                <w:sz w:val="28"/>
                <w:szCs w:val="28"/>
                <w:lang w:val="kk"/>
              </w:rPr>
              <w:t>Тереңдегі веналар тромбозын (ТВТ) және өкпе артериясының тромбоэмболиясын (ӨАТЭ) ұзақ уақыт емдеу және белсенді обыры бар пациенттерде олардың рецидивтерінің</w:t>
            </w:r>
          </w:p>
          <w:p w14:paraId="1D925F01" w14:textId="77777777" w:rsidR="003F6F17" w:rsidRPr="00A06A4C" w:rsidRDefault="00E164C3" w:rsidP="000F1804">
            <w:pPr>
              <w:jc w:val="both"/>
              <w:rPr>
                <w:sz w:val="28"/>
                <w:szCs w:val="28"/>
              </w:rPr>
            </w:pPr>
            <w:r w:rsidRPr="00A06A4C">
              <w:rPr>
                <w:sz w:val="28"/>
                <w:szCs w:val="28"/>
                <w:lang w:val="kk"/>
              </w:rPr>
              <w:t>профилактикасы</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13535E91" w14:textId="77777777" w:rsidR="003F6F17" w:rsidRPr="00A06A4C" w:rsidRDefault="00E164C3" w:rsidP="00425BD0">
            <w:pPr>
              <w:jc w:val="both"/>
              <w:rPr>
                <w:sz w:val="28"/>
                <w:szCs w:val="28"/>
              </w:rPr>
            </w:pPr>
            <w:r w:rsidRPr="00A06A4C">
              <w:rPr>
                <w:sz w:val="28"/>
                <w:szCs w:val="28"/>
                <w:lang w:val="kk"/>
              </w:rPr>
              <w:t xml:space="preserve">Тәулігіне бір рет дене салмағына 100 ХБ/кг (1 мг/кг) тері астына </w:t>
            </w:r>
          </w:p>
        </w:tc>
      </w:tr>
      <w:tr w:rsidR="009F656B" w:rsidRPr="00A06A4C" w14:paraId="3891032D" w14:textId="77777777" w:rsidTr="00425BD0">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6D8FB02A" w14:textId="77777777" w:rsidR="003F6F17" w:rsidRPr="00A06A4C" w:rsidRDefault="00E164C3" w:rsidP="00425BD0">
            <w:pPr>
              <w:jc w:val="both"/>
              <w:rPr>
                <w:sz w:val="28"/>
                <w:szCs w:val="28"/>
              </w:rPr>
            </w:pPr>
            <w:r w:rsidRPr="00A06A4C">
              <w:rPr>
                <w:sz w:val="28"/>
                <w:szCs w:val="28"/>
                <w:lang w:val="kk"/>
              </w:rPr>
              <w:t xml:space="preserve">Тұрақсыз стенокардияны және ST сегментінің көтерілуінсіз миокард инфарктісін емдеу </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3C663877" w14:textId="77777777" w:rsidR="003F6F17" w:rsidRPr="00A06A4C" w:rsidRDefault="00E164C3" w:rsidP="00425BD0">
            <w:pPr>
              <w:jc w:val="both"/>
              <w:rPr>
                <w:sz w:val="28"/>
                <w:szCs w:val="28"/>
              </w:rPr>
            </w:pPr>
            <w:r w:rsidRPr="00A06A4C">
              <w:rPr>
                <w:sz w:val="28"/>
                <w:szCs w:val="28"/>
                <w:lang w:val="kk"/>
              </w:rPr>
              <w:t>Тәулігіне бір рет дене салмағына 100 ХБ/кг (1 мг/кг) тері астына</w:t>
            </w:r>
          </w:p>
        </w:tc>
      </w:tr>
      <w:tr w:rsidR="009F656B" w:rsidRPr="00A06A4C" w14:paraId="3EDE2469" w14:textId="77777777" w:rsidTr="00425BD0">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2E3395F0" w14:textId="77777777" w:rsidR="003F6F17" w:rsidRPr="00A06A4C" w:rsidRDefault="00E164C3" w:rsidP="00425BD0">
            <w:pPr>
              <w:jc w:val="both"/>
              <w:rPr>
                <w:sz w:val="28"/>
                <w:szCs w:val="28"/>
              </w:rPr>
            </w:pPr>
            <w:r w:rsidRPr="00A06A4C">
              <w:rPr>
                <w:sz w:val="28"/>
                <w:szCs w:val="28"/>
                <w:lang w:val="kk"/>
              </w:rPr>
              <w:t>ST сегментінің көтерілуімен жедел миокард инфарктін емдеу (75 жастан асқан пациенттер)</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tcPr>
          <w:p w14:paraId="0C0BE1B2" w14:textId="77777777" w:rsidR="003F6F17" w:rsidRPr="00A06A4C" w:rsidRDefault="00E164C3" w:rsidP="00425BD0">
            <w:pPr>
              <w:jc w:val="both"/>
              <w:rPr>
                <w:sz w:val="28"/>
                <w:szCs w:val="28"/>
              </w:rPr>
            </w:pPr>
            <w:r w:rsidRPr="00A06A4C">
              <w:rPr>
                <w:sz w:val="28"/>
                <w:szCs w:val="28"/>
                <w:lang w:val="kk"/>
              </w:rPr>
              <w:t>Бастапқы доза вена ішіне енгізілмейді, дене салмағына  100 ХБ/кг (1 мг/кг)  тері астына, содан кейін әр 24 сағат сайын дене салмағына 100 ХБ/кг (1 мг/кг) тері астына.</w:t>
            </w:r>
          </w:p>
        </w:tc>
      </w:tr>
    </w:tbl>
    <w:p w14:paraId="6B279334" w14:textId="77777777" w:rsidR="003F6F17" w:rsidRPr="00A06A4C" w:rsidRDefault="00E164C3" w:rsidP="003F6F17">
      <w:pPr>
        <w:jc w:val="both"/>
        <w:rPr>
          <w:sz w:val="28"/>
          <w:szCs w:val="28"/>
        </w:rPr>
      </w:pPr>
      <w:r w:rsidRPr="00A06A4C">
        <w:rPr>
          <w:sz w:val="28"/>
          <w:szCs w:val="28"/>
          <w:lang w:val="kk"/>
        </w:rPr>
        <w:t xml:space="preserve">Ұсынылған дозалау режимінің гемодиализ жағдайларына қатысы жоқ. </w:t>
      </w:r>
    </w:p>
    <w:p w14:paraId="68472188" w14:textId="77777777" w:rsidR="003F6F17" w:rsidRPr="00A06A4C" w:rsidRDefault="00E164C3" w:rsidP="003F6F17">
      <w:pPr>
        <w:jc w:val="both"/>
        <w:rPr>
          <w:i/>
          <w:sz w:val="28"/>
          <w:szCs w:val="28"/>
        </w:rPr>
      </w:pPr>
      <w:r w:rsidRPr="00A06A4C">
        <w:rPr>
          <w:i/>
          <w:sz w:val="28"/>
          <w:szCs w:val="28"/>
          <w:lang w:val="kk"/>
        </w:rPr>
        <w:t>Бүйрек функциясының орташа және жеңіл дәрежеде бұзылуы</w:t>
      </w:r>
    </w:p>
    <w:p w14:paraId="0BDE5120" w14:textId="77777777" w:rsidR="003F6F17" w:rsidRPr="00A06A4C" w:rsidRDefault="00E164C3" w:rsidP="000D73E2">
      <w:pPr>
        <w:jc w:val="both"/>
        <w:rPr>
          <w:i/>
          <w:sz w:val="28"/>
          <w:szCs w:val="28"/>
        </w:rPr>
      </w:pPr>
      <w:r w:rsidRPr="00A06A4C">
        <w:rPr>
          <w:sz w:val="28"/>
          <w:szCs w:val="28"/>
          <w:lang w:val="kk"/>
        </w:rPr>
        <w:t>Бүйрек функциясының орташа (креатинин клиренсі 30-50 мл/мин) және жеңіл дәрежеде (креатинин клиренсі 50-80 мл/мин) бұзылуы бар пациенттерге дозаны түзету қажет емес болса да, мұқият клиникалық бақылау ұсынылады.</w:t>
      </w:r>
    </w:p>
    <w:p w14:paraId="6ADAEF9F" w14:textId="77777777" w:rsidR="000D73E2" w:rsidRPr="00A06A4C" w:rsidRDefault="00E164C3" w:rsidP="000D73E2">
      <w:pPr>
        <w:jc w:val="both"/>
        <w:rPr>
          <w:rFonts w:eastAsiaTheme="minorHAnsi"/>
          <w:b/>
          <w:sz w:val="28"/>
          <w:szCs w:val="28"/>
          <w:lang w:eastAsia="en-US"/>
        </w:rPr>
      </w:pPr>
      <w:r w:rsidRPr="00A06A4C">
        <w:rPr>
          <w:rFonts w:eastAsiaTheme="minorHAnsi"/>
          <w:b/>
          <w:sz w:val="28"/>
          <w:szCs w:val="28"/>
          <w:lang w:val="kk" w:eastAsia="en-US"/>
        </w:rPr>
        <w:t>Қолдану тәсілі</w:t>
      </w:r>
    </w:p>
    <w:p w14:paraId="6C278D09" w14:textId="77777777" w:rsidR="003F6F17" w:rsidRPr="00A06A4C" w:rsidRDefault="00E164C3" w:rsidP="003F6F17">
      <w:pPr>
        <w:tabs>
          <w:tab w:val="left" w:pos="567"/>
        </w:tabs>
        <w:jc w:val="both"/>
        <w:rPr>
          <w:rFonts w:eastAsia="Calibri"/>
          <w:sz w:val="28"/>
          <w:szCs w:val="28"/>
          <w:lang w:eastAsia="hu-HU"/>
        </w:rPr>
      </w:pPr>
      <w:r w:rsidRPr="00A06A4C">
        <w:rPr>
          <w:rFonts w:eastAsia="Calibri"/>
          <w:sz w:val="28"/>
          <w:szCs w:val="28"/>
          <w:lang w:val="kk" w:eastAsia="hu-HU"/>
        </w:rPr>
        <w:t>Катеноксты бұлшықет ішіне қолдануға тыйым салынады.</w:t>
      </w:r>
    </w:p>
    <w:p w14:paraId="445A9039" w14:textId="77777777" w:rsidR="003F6F17" w:rsidRPr="00A06A4C" w:rsidRDefault="00E164C3" w:rsidP="003F6F17">
      <w:pPr>
        <w:tabs>
          <w:tab w:val="left" w:pos="567"/>
        </w:tabs>
        <w:jc w:val="both"/>
        <w:rPr>
          <w:rFonts w:eastAsia="Calibri"/>
          <w:sz w:val="28"/>
          <w:szCs w:val="28"/>
          <w:lang w:eastAsia="hu-HU"/>
        </w:rPr>
      </w:pPr>
      <w:r w:rsidRPr="00A06A4C">
        <w:rPr>
          <w:rFonts w:eastAsia="Calibri"/>
          <w:sz w:val="28"/>
          <w:szCs w:val="28"/>
          <w:lang w:val="kk" w:eastAsia="hu-HU"/>
        </w:rPr>
        <w:t>Хирургиялық операциядан, ТВТ және ӨАТЭ емдеуден, тұрақсыз стенокардияны және ST сегментінің көтерілуінсіз миокард инфарктісін, ST сегментінің көтерілуімен жедел миокард инфарктісін емдеуден кейін веналық тромбоэмболияның профилактикасы үшін Катенокс тері астына енгізіледі.</w:t>
      </w:r>
    </w:p>
    <w:p w14:paraId="615BC195" w14:textId="77777777" w:rsidR="003F6F17" w:rsidRPr="00A06A4C" w:rsidRDefault="00E164C3" w:rsidP="003F6F17">
      <w:pPr>
        <w:tabs>
          <w:tab w:val="left" w:pos="567"/>
        </w:tabs>
        <w:jc w:val="both"/>
        <w:rPr>
          <w:rFonts w:eastAsia="Calibri"/>
          <w:bCs/>
          <w:iCs/>
          <w:sz w:val="28"/>
          <w:szCs w:val="28"/>
          <w:lang w:eastAsia="hu-HU"/>
        </w:rPr>
      </w:pPr>
      <w:r w:rsidRPr="00A06A4C">
        <w:rPr>
          <w:rFonts w:eastAsia="Calibri"/>
          <w:sz w:val="28"/>
          <w:szCs w:val="28"/>
          <w:lang w:val="kk" w:eastAsia="hu-HU"/>
        </w:rPr>
        <w:t xml:space="preserve">Гемодиализ жүргізу кезінде экстракорпоральді қанайналым жүйесінде тромб түзілуінің алдын алу үшін препарат диализдік контурдың артериялық магистралі арқылы енгізіледі. </w:t>
      </w:r>
    </w:p>
    <w:p w14:paraId="181E5A08" w14:textId="77777777" w:rsidR="003F6F17" w:rsidRPr="00A06A4C" w:rsidRDefault="00E164C3" w:rsidP="003F6F17">
      <w:pPr>
        <w:tabs>
          <w:tab w:val="left" w:pos="567"/>
        </w:tabs>
        <w:jc w:val="both"/>
        <w:rPr>
          <w:rFonts w:eastAsia="Calibri"/>
          <w:i/>
          <w:sz w:val="28"/>
          <w:szCs w:val="28"/>
          <w:lang w:eastAsia="hu-HU"/>
        </w:rPr>
      </w:pPr>
      <w:r w:rsidRPr="00A06A4C">
        <w:rPr>
          <w:rFonts w:eastAsia="Calibri"/>
          <w:bCs/>
          <w:iCs/>
          <w:sz w:val="28"/>
          <w:szCs w:val="28"/>
          <w:lang w:val="kk" w:eastAsia="hu-HU"/>
        </w:rPr>
        <w:t xml:space="preserve">Алдын ала толтырылған бір реттік шприц дереу пайдалануға дайын. </w:t>
      </w:r>
    </w:p>
    <w:p w14:paraId="5F70A3C5" w14:textId="77777777" w:rsidR="003F6F17" w:rsidRPr="00A06A4C" w:rsidRDefault="00E164C3" w:rsidP="003F6F17">
      <w:pPr>
        <w:tabs>
          <w:tab w:val="left" w:pos="567"/>
        </w:tabs>
        <w:jc w:val="both"/>
        <w:rPr>
          <w:rFonts w:eastAsia="Calibri"/>
          <w:i/>
          <w:sz w:val="28"/>
          <w:szCs w:val="28"/>
          <w:lang w:eastAsia="hu-HU"/>
        </w:rPr>
      </w:pPr>
      <w:r w:rsidRPr="00A06A4C">
        <w:rPr>
          <w:rFonts w:eastAsia="Calibri"/>
          <w:i/>
          <w:sz w:val="28"/>
          <w:szCs w:val="28"/>
          <w:lang w:val="kk" w:eastAsia="hu-HU"/>
        </w:rPr>
        <w:t>Тері астына енгізу:</w:t>
      </w:r>
    </w:p>
    <w:p w14:paraId="7F47A59D" w14:textId="77777777" w:rsidR="003F6F17" w:rsidRPr="00A06A4C" w:rsidRDefault="00E164C3" w:rsidP="003F6F17">
      <w:pPr>
        <w:tabs>
          <w:tab w:val="left" w:pos="567"/>
        </w:tabs>
        <w:jc w:val="both"/>
        <w:rPr>
          <w:rFonts w:eastAsia="Calibri"/>
          <w:sz w:val="28"/>
          <w:szCs w:val="28"/>
          <w:lang w:eastAsia="hu-HU"/>
        </w:rPr>
      </w:pPr>
      <w:r w:rsidRPr="00A06A4C">
        <w:rPr>
          <w:rFonts w:eastAsia="Calibri"/>
          <w:sz w:val="28"/>
          <w:szCs w:val="28"/>
          <w:lang w:val="kk" w:eastAsia="hu-HU"/>
        </w:rPr>
        <w:lastRenderedPageBreak/>
        <w:t>- Катенокс препаратының инъекциясын науқастың жатқан күйінде, тері астына тереңдете орындаған дұрыс.</w:t>
      </w:r>
    </w:p>
    <w:p w14:paraId="7AA96B32" w14:textId="77777777" w:rsidR="003F6F17" w:rsidRPr="00A06A4C" w:rsidRDefault="00E164C3" w:rsidP="003F6F17">
      <w:pPr>
        <w:tabs>
          <w:tab w:val="left" w:pos="567"/>
        </w:tabs>
        <w:jc w:val="both"/>
        <w:rPr>
          <w:rFonts w:eastAsia="Calibri"/>
          <w:sz w:val="28"/>
          <w:szCs w:val="28"/>
          <w:lang w:val="kk" w:eastAsia="hu-HU"/>
        </w:rPr>
      </w:pPr>
      <w:r w:rsidRPr="00A06A4C">
        <w:rPr>
          <w:rFonts w:eastAsia="Calibri"/>
          <w:sz w:val="28"/>
          <w:szCs w:val="28"/>
          <w:lang w:val="kk" w:eastAsia="hu-HU"/>
        </w:rPr>
        <w:t xml:space="preserve">Алдын ала толтырылған шприцтерді пайдаланған жағдайда препаратқа шығын келтірмеу үшін инъекция алдында шприцтен ауа көпіршігін шығармау керек. Кейбір жағдайларда дәлме-дәл дозаға жету мүмкін емес екеніне назар аударыңыз және мұндай жағдайда көлемі жақын бөлікке дейін дөңгелектенеді. </w:t>
      </w:r>
    </w:p>
    <w:p w14:paraId="50826469" w14:textId="77777777" w:rsidR="003F6F17" w:rsidRPr="00A06A4C" w:rsidRDefault="00E164C3" w:rsidP="003F6F17">
      <w:pPr>
        <w:tabs>
          <w:tab w:val="left" w:pos="567"/>
        </w:tabs>
        <w:jc w:val="both"/>
        <w:rPr>
          <w:rFonts w:eastAsia="Calibri"/>
          <w:sz w:val="28"/>
          <w:szCs w:val="28"/>
          <w:lang w:val="kk" w:eastAsia="hu-HU"/>
        </w:rPr>
      </w:pPr>
      <w:r w:rsidRPr="00A06A4C">
        <w:rPr>
          <w:rFonts w:eastAsia="Calibri"/>
          <w:sz w:val="28"/>
          <w:szCs w:val="28"/>
          <w:lang w:val="kk" w:eastAsia="hu-HU"/>
        </w:rPr>
        <w:t>Инъекцияны іштің біресе сол жақ, біресе оң жақ алдыңғы бүйірдегі немесе артқы бүйірдегі қабырғасына кезек енгізеді. Инені бүкіл ұзына бойына қолдың сұқ саусағы мен бас бармағының арасына қысқан терінің қатпарына перпендикуляр енгізген жөн. Бүкіл инъекция барысында терінің осы бөлігі саусақтар арасына қысылып тұруы тиіс. Егізгеннен кейін инъекция орнын ысқыламау керек.</w:t>
      </w:r>
    </w:p>
    <w:p w14:paraId="3552E4BD" w14:textId="77777777" w:rsidR="003F6F17" w:rsidRPr="00A06A4C" w:rsidRDefault="00E164C3" w:rsidP="003F6F17">
      <w:pPr>
        <w:tabs>
          <w:tab w:val="left" w:pos="567"/>
        </w:tabs>
        <w:jc w:val="both"/>
        <w:rPr>
          <w:rFonts w:eastAsia="Calibri"/>
          <w:i/>
          <w:iCs/>
          <w:sz w:val="28"/>
          <w:szCs w:val="28"/>
          <w:lang w:val="kk" w:eastAsia="hu-HU"/>
        </w:rPr>
      </w:pPr>
      <w:r w:rsidRPr="00A06A4C">
        <w:rPr>
          <w:rFonts w:eastAsia="Calibri"/>
          <w:i/>
          <w:iCs/>
          <w:sz w:val="28"/>
          <w:szCs w:val="28"/>
          <w:lang w:val="kk" w:eastAsia="hu-HU"/>
        </w:rPr>
        <w:t>Егер тері астына енгізу баллонды үрлегенге дейін 8 сағаттан көп уақыт бұрын жүргізілген болса, ТАЕ арналған қосымша болюс:</w:t>
      </w:r>
    </w:p>
    <w:p w14:paraId="481E0345" w14:textId="77777777" w:rsidR="003F6F17" w:rsidRPr="00A06A4C" w:rsidRDefault="00E164C3" w:rsidP="003F6F17">
      <w:pPr>
        <w:tabs>
          <w:tab w:val="left" w:pos="567"/>
        </w:tabs>
        <w:jc w:val="both"/>
        <w:rPr>
          <w:rFonts w:eastAsia="Calibri"/>
          <w:sz w:val="28"/>
          <w:szCs w:val="28"/>
          <w:lang w:val="kk" w:eastAsia="hu-HU"/>
        </w:rPr>
      </w:pPr>
      <w:r w:rsidRPr="00A06A4C">
        <w:rPr>
          <w:rFonts w:eastAsia="Calibri"/>
          <w:sz w:val="28"/>
          <w:szCs w:val="28"/>
          <w:lang w:val="kk" w:eastAsia="hu-HU"/>
        </w:rPr>
        <w:t>ТАЕ көмегімен ем алып жүрген пациенттерге тері астына соңғы енгізу баллонды үрлегенге дейін 8 сағаттан көп уақыт бұрын жүргізілген болса, қосымша венаішілік 30 ХБ/кг (0,3 мг/кг) болюсті енгізу қажет.</w:t>
      </w:r>
    </w:p>
    <w:p w14:paraId="42705B63" w14:textId="77777777" w:rsidR="003F6F17" w:rsidRPr="00A06A4C" w:rsidRDefault="00E164C3" w:rsidP="003F6F17">
      <w:pPr>
        <w:tabs>
          <w:tab w:val="left" w:pos="567"/>
        </w:tabs>
        <w:jc w:val="both"/>
        <w:rPr>
          <w:rFonts w:eastAsia="Calibri"/>
          <w:sz w:val="28"/>
          <w:szCs w:val="28"/>
          <w:lang w:val="kk" w:eastAsia="hu-HU"/>
        </w:rPr>
      </w:pPr>
      <w:r w:rsidRPr="00A06A4C">
        <w:rPr>
          <w:rFonts w:eastAsia="Calibri"/>
          <w:sz w:val="28"/>
          <w:szCs w:val="28"/>
          <w:lang w:val="kk" w:eastAsia="hu-HU"/>
        </w:rPr>
        <w:t>Инъекцияға арналған шағын көлемнің нақтылығын қамтамасыз ету үшін препаратты 300 ХБ/мл (3 мг/мл) дейін сұйылту қажет.</w:t>
      </w:r>
    </w:p>
    <w:p w14:paraId="6B6EBF53" w14:textId="77777777" w:rsidR="003F6F17" w:rsidRPr="00A06A4C" w:rsidRDefault="00E164C3" w:rsidP="003F6F17">
      <w:pPr>
        <w:tabs>
          <w:tab w:val="left" w:pos="567"/>
        </w:tabs>
        <w:jc w:val="both"/>
        <w:rPr>
          <w:rFonts w:eastAsia="Calibri"/>
          <w:sz w:val="28"/>
          <w:szCs w:val="28"/>
          <w:lang w:val="kk" w:eastAsia="hu-HU"/>
        </w:rPr>
      </w:pPr>
      <w:r w:rsidRPr="00A06A4C">
        <w:rPr>
          <w:rFonts w:eastAsia="Calibri"/>
          <w:sz w:val="28"/>
          <w:szCs w:val="28"/>
          <w:lang w:val="kk" w:eastAsia="hu-HU"/>
        </w:rPr>
        <w:t>300 ХБ/мл (3 мг/мл) ерітінді алу үшін 4000 ХБ (40 мг) + 2000 МЕ (20 мг) натрий эноксапаринімен алдын ала толтырылған шприцті пайдалану ұсынылады, төмендегідей жиынтығында 6000 ХБ (60 мг) және 50 мл инфузиялық пакет (яғни, не физиологиялық ерітіндіні (0,9%), не судағы 5% декстрозаны пайдаланып) алу үшін:</w:t>
      </w:r>
    </w:p>
    <w:p w14:paraId="12AED59B" w14:textId="77777777" w:rsidR="003F6F17" w:rsidRPr="00A06A4C" w:rsidRDefault="00E164C3" w:rsidP="003F6F17">
      <w:pPr>
        <w:tabs>
          <w:tab w:val="left" w:pos="567"/>
        </w:tabs>
        <w:jc w:val="both"/>
        <w:rPr>
          <w:rFonts w:eastAsia="Calibri"/>
          <w:sz w:val="28"/>
          <w:szCs w:val="28"/>
          <w:lang w:val="kk" w:eastAsia="hu-HU"/>
        </w:rPr>
      </w:pPr>
      <w:r w:rsidRPr="00A06A4C">
        <w:rPr>
          <w:rFonts w:eastAsia="Calibri"/>
          <w:sz w:val="28"/>
          <w:szCs w:val="28"/>
          <w:lang w:val="kk" w:eastAsia="hu-HU"/>
        </w:rPr>
        <w:t>• Шприцтің көмегімен инфузиялық қапшықтан 30 мл алыңыз және сұйықтықты төгіңіз. 4000 ХБ (40 мг) + 2000 ХБ (20 мг) натрий эноксапаринімен алдын ала толтырылған шприцтердің ішіндегісінің барлығын қапшықта қалған 20 мл  енгізіңіз. Қапшықтың ішіндегісін абайлап араластырыңыз. Тамызғыға енгізу үшін шприцтің көмегімен сұйылтылған ерітіндінің қажетті көлемін алыңыз.</w:t>
      </w:r>
    </w:p>
    <w:p w14:paraId="584557ED" w14:textId="77777777" w:rsidR="003F6F17" w:rsidRPr="00A06A4C" w:rsidRDefault="00E164C3" w:rsidP="003F6F17">
      <w:pPr>
        <w:tabs>
          <w:tab w:val="left" w:pos="567"/>
        </w:tabs>
        <w:jc w:val="both"/>
        <w:rPr>
          <w:rFonts w:eastAsia="Calibri"/>
          <w:sz w:val="28"/>
          <w:szCs w:val="28"/>
          <w:lang w:val="kk" w:eastAsia="hu-HU"/>
        </w:rPr>
      </w:pPr>
      <w:r w:rsidRPr="00A06A4C">
        <w:rPr>
          <w:rFonts w:eastAsia="Calibri"/>
          <w:sz w:val="28"/>
          <w:szCs w:val="28"/>
          <w:lang w:val="kk" w:eastAsia="hu-HU"/>
        </w:rPr>
        <w:t>• Сұйылту аяқталғаннан кейін инъекцияға арналған көлемді келесі формула бойынша [Сұйылтылған ерітінді көлемі (мл) = Пациенттің салмағы (кг) x 0,1] немесе төменде берілген кестенің көмегімен есептеуге болады. Сұйылтуды тікелей қолданар алдында дайындау ұсынылады.</w:t>
      </w:r>
    </w:p>
    <w:p w14:paraId="774AF6E9" w14:textId="77777777" w:rsidR="003F6F17" w:rsidRPr="00A06A4C" w:rsidRDefault="00E164C3" w:rsidP="003F6F17">
      <w:pPr>
        <w:tabs>
          <w:tab w:val="left" w:pos="567"/>
        </w:tabs>
        <w:jc w:val="both"/>
        <w:rPr>
          <w:rFonts w:eastAsia="Calibri"/>
          <w:sz w:val="28"/>
          <w:szCs w:val="28"/>
          <w:lang w:val="kk" w:eastAsia="hu-HU"/>
        </w:rPr>
      </w:pPr>
      <w:r w:rsidRPr="00A06A4C">
        <w:rPr>
          <w:rFonts w:eastAsia="Calibri"/>
          <w:sz w:val="28"/>
          <w:szCs w:val="28"/>
          <w:lang w:val="kk" w:eastAsia="hu-HU"/>
        </w:rPr>
        <w:t>Сұйылту аяқталғаннан кейін тамызғы арқылы 300 ХБ (3 мг)/мл концентрациясында инъекцияға арналған көлем.</w:t>
      </w:r>
    </w:p>
    <w:tbl>
      <w:tblPr>
        <w:tblStyle w:val="af"/>
        <w:tblW w:w="0" w:type="auto"/>
        <w:tblLook w:val="04A0" w:firstRow="1" w:lastRow="0" w:firstColumn="1" w:lastColumn="0" w:noHBand="0" w:noVBand="1"/>
      </w:tblPr>
      <w:tblGrid>
        <w:gridCol w:w="1384"/>
        <w:gridCol w:w="1701"/>
        <w:gridCol w:w="1701"/>
        <w:gridCol w:w="4501"/>
      </w:tblGrid>
      <w:tr w:rsidR="009F656B" w:rsidRPr="00A06A4C" w14:paraId="6037ECEB" w14:textId="77777777" w:rsidTr="00425BD0">
        <w:tc>
          <w:tcPr>
            <w:tcW w:w="1384" w:type="dxa"/>
          </w:tcPr>
          <w:p w14:paraId="11EF445B" w14:textId="77777777" w:rsidR="003F6F17" w:rsidRPr="00A06A4C" w:rsidRDefault="00E164C3" w:rsidP="003F6F17">
            <w:pPr>
              <w:tabs>
                <w:tab w:val="left" w:pos="567"/>
              </w:tabs>
              <w:spacing w:after="0" w:line="240" w:lineRule="auto"/>
              <w:contextualSpacing/>
              <w:jc w:val="both"/>
              <w:rPr>
                <w:rFonts w:ascii="Times New Roman" w:hAnsi="Times New Roman"/>
                <w:b/>
                <w:bCs/>
                <w:sz w:val="28"/>
                <w:szCs w:val="28"/>
                <w:lang w:eastAsia="hu-HU"/>
              </w:rPr>
            </w:pPr>
            <w:r w:rsidRPr="00A06A4C">
              <w:rPr>
                <w:rFonts w:ascii="Times New Roman" w:hAnsi="Times New Roman"/>
                <w:b/>
                <w:bCs/>
                <w:sz w:val="28"/>
                <w:szCs w:val="28"/>
                <w:lang w:val="kk" w:eastAsia="hu-HU"/>
              </w:rPr>
              <w:t>Салмақ</w:t>
            </w:r>
          </w:p>
        </w:tc>
        <w:tc>
          <w:tcPr>
            <w:tcW w:w="3402" w:type="dxa"/>
            <w:gridSpan w:val="2"/>
          </w:tcPr>
          <w:p w14:paraId="231E0657" w14:textId="77777777" w:rsidR="003F6F17" w:rsidRPr="00A06A4C" w:rsidRDefault="00E164C3" w:rsidP="003F6F17">
            <w:pPr>
              <w:tabs>
                <w:tab w:val="left" w:pos="567"/>
              </w:tabs>
              <w:spacing w:after="0" w:line="240" w:lineRule="auto"/>
              <w:contextualSpacing/>
              <w:jc w:val="both"/>
              <w:rPr>
                <w:rFonts w:ascii="Times New Roman" w:hAnsi="Times New Roman"/>
                <w:b/>
                <w:bCs/>
                <w:sz w:val="28"/>
                <w:szCs w:val="28"/>
                <w:lang w:eastAsia="hu-HU"/>
              </w:rPr>
            </w:pPr>
            <w:r w:rsidRPr="00A06A4C">
              <w:rPr>
                <w:rFonts w:ascii="Times New Roman" w:hAnsi="Times New Roman"/>
                <w:b/>
                <w:bCs/>
                <w:sz w:val="28"/>
                <w:szCs w:val="28"/>
                <w:lang w:val="kk" w:eastAsia="hu-HU"/>
              </w:rPr>
              <w:t>Қажетті доза</w:t>
            </w:r>
          </w:p>
          <w:p w14:paraId="51E602AF" w14:textId="77777777" w:rsidR="003F6F17" w:rsidRPr="00A06A4C" w:rsidRDefault="00E164C3" w:rsidP="003F6F17">
            <w:pPr>
              <w:tabs>
                <w:tab w:val="left" w:pos="567"/>
              </w:tabs>
              <w:spacing w:after="0" w:line="240" w:lineRule="auto"/>
              <w:contextualSpacing/>
              <w:jc w:val="both"/>
              <w:rPr>
                <w:rFonts w:ascii="Times New Roman" w:hAnsi="Times New Roman"/>
                <w:b/>
                <w:bCs/>
                <w:sz w:val="28"/>
                <w:szCs w:val="28"/>
                <w:lang w:eastAsia="hu-HU"/>
              </w:rPr>
            </w:pPr>
            <w:r w:rsidRPr="00A06A4C">
              <w:rPr>
                <w:rFonts w:ascii="Times New Roman" w:hAnsi="Times New Roman"/>
                <w:b/>
                <w:bCs/>
                <w:sz w:val="28"/>
                <w:szCs w:val="28"/>
                <w:lang w:val="kk" w:eastAsia="hu-HU"/>
              </w:rPr>
              <w:t>30 ХБ / кг (0.3 мг / кг)</w:t>
            </w:r>
          </w:p>
        </w:tc>
        <w:tc>
          <w:tcPr>
            <w:tcW w:w="4501" w:type="dxa"/>
          </w:tcPr>
          <w:p w14:paraId="0001CD91" w14:textId="77777777" w:rsidR="003F6F17" w:rsidRPr="00A06A4C" w:rsidRDefault="00E164C3" w:rsidP="003F6F17">
            <w:pPr>
              <w:tabs>
                <w:tab w:val="left" w:pos="567"/>
              </w:tabs>
              <w:spacing w:after="0" w:line="240" w:lineRule="auto"/>
              <w:contextualSpacing/>
              <w:jc w:val="both"/>
              <w:rPr>
                <w:rFonts w:ascii="Times New Roman" w:hAnsi="Times New Roman"/>
                <w:b/>
                <w:bCs/>
                <w:sz w:val="28"/>
                <w:szCs w:val="28"/>
                <w:lang w:eastAsia="hu-HU"/>
              </w:rPr>
            </w:pPr>
            <w:r w:rsidRPr="00A06A4C">
              <w:rPr>
                <w:rFonts w:ascii="Times New Roman" w:hAnsi="Times New Roman"/>
                <w:b/>
                <w:bCs/>
                <w:sz w:val="28"/>
                <w:szCs w:val="28"/>
                <w:lang w:val="kk" w:eastAsia="hu-HU"/>
              </w:rPr>
              <w:t>300 ХБ (3 мг)/мл соңғы концентрацияға дейін сұйылтқан кездегі инъекцияға арналған көлем</w:t>
            </w:r>
          </w:p>
        </w:tc>
      </w:tr>
      <w:tr w:rsidR="009F656B" w:rsidRPr="00A06A4C" w14:paraId="2B47AD6B" w14:textId="77777777" w:rsidTr="00425BD0">
        <w:tc>
          <w:tcPr>
            <w:tcW w:w="1384" w:type="dxa"/>
          </w:tcPr>
          <w:p w14:paraId="5C88EAE2"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кг</w:t>
            </w:r>
          </w:p>
        </w:tc>
        <w:tc>
          <w:tcPr>
            <w:tcW w:w="1701" w:type="dxa"/>
          </w:tcPr>
          <w:p w14:paraId="0BA7BCF1"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ХБ</w:t>
            </w:r>
          </w:p>
        </w:tc>
        <w:tc>
          <w:tcPr>
            <w:tcW w:w="1701" w:type="dxa"/>
          </w:tcPr>
          <w:p w14:paraId="3D081F0D"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[мг]</w:t>
            </w:r>
          </w:p>
        </w:tc>
        <w:tc>
          <w:tcPr>
            <w:tcW w:w="4501" w:type="dxa"/>
          </w:tcPr>
          <w:p w14:paraId="7B9C03B8"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[мл]</w:t>
            </w:r>
          </w:p>
        </w:tc>
      </w:tr>
      <w:tr w:rsidR="009F656B" w:rsidRPr="00A06A4C" w14:paraId="4643C8D6" w14:textId="77777777" w:rsidTr="00425BD0">
        <w:tc>
          <w:tcPr>
            <w:tcW w:w="1384" w:type="dxa"/>
          </w:tcPr>
          <w:p w14:paraId="77D4BA35"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45</w:t>
            </w:r>
          </w:p>
        </w:tc>
        <w:tc>
          <w:tcPr>
            <w:tcW w:w="1701" w:type="dxa"/>
          </w:tcPr>
          <w:p w14:paraId="36F88960"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1350</w:t>
            </w:r>
          </w:p>
        </w:tc>
        <w:tc>
          <w:tcPr>
            <w:tcW w:w="1701" w:type="dxa"/>
          </w:tcPr>
          <w:p w14:paraId="77BB071B"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13.5</w:t>
            </w:r>
          </w:p>
        </w:tc>
        <w:tc>
          <w:tcPr>
            <w:tcW w:w="4501" w:type="dxa"/>
          </w:tcPr>
          <w:p w14:paraId="5D0C91D7"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4.5</w:t>
            </w:r>
          </w:p>
        </w:tc>
      </w:tr>
      <w:tr w:rsidR="009F656B" w:rsidRPr="00A06A4C" w14:paraId="3983F2B2" w14:textId="77777777" w:rsidTr="00425BD0">
        <w:tc>
          <w:tcPr>
            <w:tcW w:w="1384" w:type="dxa"/>
          </w:tcPr>
          <w:p w14:paraId="317C8A84"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50</w:t>
            </w:r>
          </w:p>
        </w:tc>
        <w:tc>
          <w:tcPr>
            <w:tcW w:w="1701" w:type="dxa"/>
          </w:tcPr>
          <w:p w14:paraId="11DABC74"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1500</w:t>
            </w:r>
          </w:p>
        </w:tc>
        <w:tc>
          <w:tcPr>
            <w:tcW w:w="1701" w:type="dxa"/>
          </w:tcPr>
          <w:p w14:paraId="0F7C6118"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15</w:t>
            </w:r>
          </w:p>
        </w:tc>
        <w:tc>
          <w:tcPr>
            <w:tcW w:w="4501" w:type="dxa"/>
          </w:tcPr>
          <w:p w14:paraId="31A59CFA"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5</w:t>
            </w:r>
          </w:p>
        </w:tc>
      </w:tr>
      <w:tr w:rsidR="009F656B" w:rsidRPr="00A06A4C" w14:paraId="10D916C7" w14:textId="77777777" w:rsidTr="00425BD0">
        <w:tc>
          <w:tcPr>
            <w:tcW w:w="1384" w:type="dxa"/>
          </w:tcPr>
          <w:p w14:paraId="16026245"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lastRenderedPageBreak/>
              <w:t>55</w:t>
            </w:r>
          </w:p>
        </w:tc>
        <w:tc>
          <w:tcPr>
            <w:tcW w:w="1701" w:type="dxa"/>
          </w:tcPr>
          <w:p w14:paraId="7480AF1B"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1650</w:t>
            </w:r>
          </w:p>
        </w:tc>
        <w:tc>
          <w:tcPr>
            <w:tcW w:w="1701" w:type="dxa"/>
          </w:tcPr>
          <w:p w14:paraId="07CA87F0"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16.5</w:t>
            </w:r>
          </w:p>
        </w:tc>
        <w:tc>
          <w:tcPr>
            <w:tcW w:w="4501" w:type="dxa"/>
          </w:tcPr>
          <w:p w14:paraId="7FCDAFAA"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5.5</w:t>
            </w:r>
          </w:p>
        </w:tc>
      </w:tr>
      <w:tr w:rsidR="009F656B" w:rsidRPr="00A06A4C" w14:paraId="17285C2A" w14:textId="77777777" w:rsidTr="00425BD0">
        <w:tc>
          <w:tcPr>
            <w:tcW w:w="1384" w:type="dxa"/>
          </w:tcPr>
          <w:p w14:paraId="734B9A3F"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60</w:t>
            </w:r>
          </w:p>
        </w:tc>
        <w:tc>
          <w:tcPr>
            <w:tcW w:w="1701" w:type="dxa"/>
          </w:tcPr>
          <w:p w14:paraId="36694771"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1800</w:t>
            </w:r>
          </w:p>
        </w:tc>
        <w:tc>
          <w:tcPr>
            <w:tcW w:w="1701" w:type="dxa"/>
          </w:tcPr>
          <w:p w14:paraId="7FE68AE5"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18</w:t>
            </w:r>
          </w:p>
        </w:tc>
        <w:tc>
          <w:tcPr>
            <w:tcW w:w="4501" w:type="dxa"/>
          </w:tcPr>
          <w:p w14:paraId="4A6B7305"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6</w:t>
            </w:r>
          </w:p>
        </w:tc>
      </w:tr>
      <w:tr w:rsidR="009F656B" w:rsidRPr="00A06A4C" w14:paraId="5A639A72" w14:textId="77777777" w:rsidTr="00425BD0">
        <w:tc>
          <w:tcPr>
            <w:tcW w:w="1384" w:type="dxa"/>
          </w:tcPr>
          <w:p w14:paraId="02646677"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65</w:t>
            </w:r>
          </w:p>
        </w:tc>
        <w:tc>
          <w:tcPr>
            <w:tcW w:w="1701" w:type="dxa"/>
          </w:tcPr>
          <w:p w14:paraId="60BBA757"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1950</w:t>
            </w:r>
          </w:p>
        </w:tc>
        <w:tc>
          <w:tcPr>
            <w:tcW w:w="1701" w:type="dxa"/>
          </w:tcPr>
          <w:p w14:paraId="1A0F92B8"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19.5</w:t>
            </w:r>
          </w:p>
        </w:tc>
        <w:tc>
          <w:tcPr>
            <w:tcW w:w="4501" w:type="dxa"/>
          </w:tcPr>
          <w:p w14:paraId="627C6CB7"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6.5</w:t>
            </w:r>
          </w:p>
        </w:tc>
      </w:tr>
      <w:tr w:rsidR="009F656B" w:rsidRPr="00A06A4C" w14:paraId="158BFACC" w14:textId="77777777" w:rsidTr="00425BD0">
        <w:tc>
          <w:tcPr>
            <w:tcW w:w="1384" w:type="dxa"/>
          </w:tcPr>
          <w:p w14:paraId="3A28EBD2"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70</w:t>
            </w:r>
          </w:p>
        </w:tc>
        <w:tc>
          <w:tcPr>
            <w:tcW w:w="1701" w:type="dxa"/>
          </w:tcPr>
          <w:p w14:paraId="4EEB9A0D"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2100</w:t>
            </w:r>
          </w:p>
        </w:tc>
        <w:tc>
          <w:tcPr>
            <w:tcW w:w="1701" w:type="dxa"/>
          </w:tcPr>
          <w:p w14:paraId="3F81B87E"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21</w:t>
            </w:r>
          </w:p>
        </w:tc>
        <w:tc>
          <w:tcPr>
            <w:tcW w:w="4501" w:type="dxa"/>
          </w:tcPr>
          <w:p w14:paraId="6E8F9675"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7</w:t>
            </w:r>
          </w:p>
        </w:tc>
      </w:tr>
      <w:tr w:rsidR="009F656B" w:rsidRPr="00A06A4C" w14:paraId="316D8873" w14:textId="77777777" w:rsidTr="00425BD0">
        <w:tc>
          <w:tcPr>
            <w:tcW w:w="1384" w:type="dxa"/>
          </w:tcPr>
          <w:p w14:paraId="362113FD"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75</w:t>
            </w:r>
          </w:p>
        </w:tc>
        <w:tc>
          <w:tcPr>
            <w:tcW w:w="1701" w:type="dxa"/>
          </w:tcPr>
          <w:p w14:paraId="2E08AD60"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2250</w:t>
            </w:r>
          </w:p>
        </w:tc>
        <w:tc>
          <w:tcPr>
            <w:tcW w:w="1701" w:type="dxa"/>
          </w:tcPr>
          <w:p w14:paraId="1DEFF4E6"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22.5</w:t>
            </w:r>
          </w:p>
        </w:tc>
        <w:tc>
          <w:tcPr>
            <w:tcW w:w="4501" w:type="dxa"/>
          </w:tcPr>
          <w:p w14:paraId="1992D7CD"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7.5</w:t>
            </w:r>
          </w:p>
        </w:tc>
      </w:tr>
      <w:tr w:rsidR="009F656B" w:rsidRPr="00A06A4C" w14:paraId="2303921A" w14:textId="77777777" w:rsidTr="00425BD0">
        <w:tc>
          <w:tcPr>
            <w:tcW w:w="1384" w:type="dxa"/>
          </w:tcPr>
          <w:p w14:paraId="5218675D"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80</w:t>
            </w:r>
          </w:p>
        </w:tc>
        <w:tc>
          <w:tcPr>
            <w:tcW w:w="1701" w:type="dxa"/>
          </w:tcPr>
          <w:p w14:paraId="0D422E7C"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2400</w:t>
            </w:r>
          </w:p>
        </w:tc>
        <w:tc>
          <w:tcPr>
            <w:tcW w:w="1701" w:type="dxa"/>
          </w:tcPr>
          <w:p w14:paraId="3EFDFA67"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24</w:t>
            </w:r>
          </w:p>
        </w:tc>
        <w:tc>
          <w:tcPr>
            <w:tcW w:w="4501" w:type="dxa"/>
          </w:tcPr>
          <w:p w14:paraId="307C1377"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8</w:t>
            </w:r>
          </w:p>
        </w:tc>
      </w:tr>
      <w:tr w:rsidR="009F656B" w:rsidRPr="00A06A4C" w14:paraId="7EF6217F" w14:textId="77777777" w:rsidTr="00425BD0">
        <w:tc>
          <w:tcPr>
            <w:tcW w:w="1384" w:type="dxa"/>
          </w:tcPr>
          <w:p w14:paraId="5B08A910"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85</w:t>
            </w:r>
          </w:p>
        </w:tc>
        <w:tc>
          <w:tcPr>
            <w:tcW w:w="1701" w:type="dxa"/>
          </w:tcPr>
          <w:p w14:paraId="764ABECC"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2550</w:t>
            </w:r>
          </w:p>
        </w:tc>
        <w:tc>
          <w:tcPr>
            <w:tcW w:w="1701" w:type="dxa"/>
          </w:tcPr>
          <w:p w14:paraId="2C869F35"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25.5</w:t>
            </w:r>
          </w:p>
        </w:tc>
        <w:tc>
          <w:tcPr>
            <w:tcW w:w="4501" w:type="dxa"/>
          </w:tcPr>
          <w:p w14:paraId="43967AE9"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8.5</w:t>
            </w:r>
          </w:p>
        </w:tc>
      </w:tr>
      <w:tr w:rsidR="009F656B" w:rsidRPr="00A06A4C" w14:paraId="79FE913F" w14:textId="77777777" w:rsidTr="00425BD0">
        <w:tc>
          <w:tcPr>
            <w:tcW w:w="1384" w:type="dxa"/>
          </w:tcPr>
          <w:p w14:paraId="436FF1B5"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90</w:t>
            </w:r>
          </w:p>
        </w:tc>
        <w:tc>
          <w:tcPr>
            <w:tcW w:w="1701" w:type="dxa"/>
          </w:tcPr>
          <w:p w14:paraId="38988E3D"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2700</w:t>
            </w:r>
          </w:p>
        </w:tc>
        <w:tc>
          <w:tcPr>
            <w:tcW w:w="1701" w:type="dxa"/>
          </w:tcPr>
          <w:p w14:paraId="4F9579B3"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27</w:t>
            </w:r>
          </w:p>
        </w:tc>
        <w:tc>
          <w:tcPr>
            <w:tcW w:w="4501" w:type="dxa"/>
          </w:tcPr>
          <w:p w14:paraId="346AA311"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9</w:t>
            </w:r>
          </w:p>
        </w:tc>
      </w:tr>
      <w:tr w:rsidR="009F656B" w:rsidRPr="00A06A4C" w14:paraId="22AF899A" w14:textId="77777777" w:rsidTr="00425BD0">
        <w:tc>
          <w:tcPr>
            <w:tcW w:w="1384" w:type="dxa"/>
          </w:tcPr>
          <w:p w14:paraId="3617286E"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95</w:t>
            </w:r>
          </w:p>
        </w:tc>
        <w:tc>
          <w:tcPr>
            <w:tcW w:w="1701" w:type="dxa"/>
          </w:tcPr>
          <w:p w14:paraId="3176D842"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2850</w:t>
            </w:r>
          </w:p>
        </w:tc>
        <w:tc>
          <w:tcPr>
            <w:tcW w:w="1701" w:type="dxa"/>
          </w:tcPr>
          <w:p w14:paraId="37531CB7"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28.5</w:t>
            </w:r>
          </w:p>
        </w:tc>
        <w:tc>
          <w:tcPr>
            <w:tcW w:w="4501" w:type="dxa"/>
          </w:tcPr>
          <w:p w14:paraId="0A816FED"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9.5</w:t>
            </w:r>
          </w:p>
        </w:tc>
      </w:tr>
      <w:tr w:rsidR="009F656B" w:rsidRPr="00A06A4C" w14:paraId="395BCD50" w14:textId="77777777" w:rsidTr="00425BD0">
        <w:trPr>
          <w:trHeight w:val="279"/>
        </w:trPr>
        <w:tc>
          <w:tcPr>
            <w:tcW w:w="1384" w:type="dxa"/>
          </w:tcPr>
          <w:p w14:paraId="433E9CC1"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100</w:t>
            </w:r>
          </w:p>
        </w:tc>
        <w:tc>
          <w:tcPr>
            <w:tcW w:w="1701" w:type="dxa"/>
          </w:tcPr>
          <w:p w14:paraId="541080B6"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3000</w:t>
            </w:r>
          </w:p>
        </w:tc>
        <w:tc>
          <w:tcPr>
            <w:tcW w:w="1701" w:type="dxa"/>
          </w:tcPr>
          <w:p w14:paraId="1826B5D7"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30</w:t>
            </w:r>
          </w:p>
        </w:tc>
        <w:tc>
          <w:tcPr>
            <w:tcW w:w="4501" w:type="dxa"/>
          </w:tcPr>
          <w:p w14:paraId="201AA5EA"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10</w:t>
            </w:r>
          </w:p>
        </w:tc>
      </w:tr>
      <w:tr w:rsidR="009F656B" w:rsidRPr="00A06A4C" w14:paraId="15D9250D" w14:textId="77777777" w:rsidTr="00425BD0">
        <w:tc>
          <w:tcPr>
            <w:tcW w:w="1384" w:type="dxa"/>
          </w:tcPr>
          <w:p w14:paraId="11E03E99"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105</w:t>
            </w:r>
          </w:p>
        </w:tc>
        <w:tc>
          <w:tcPr>
            <w:tcW w:w="1701" w:type="dxa"/>
          </w:tcPr>
          <w:p w14:paraId="62CE2076"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3150</w:t>
            </w:r>
          </w:p>
        </w:tc>
        <w:tc>
          <w:tcPr>
            <w:tcW w:w="1701" w:type="dxa"/>
          </w:tcPr>
          <w:p w14:paraId="18C04781"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31.5</w:t>
            </w:r>
          </w:p>
        </w:tc>
        <w:tc>
          <w:tcPr>
            <w:tcW w:w="4501" w:type="dxa"/>
          </w:tcPr>
          <w:p w14:paraId="2383E446"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10.5</w:t>
            </w:r>
          </w:p>
        </w:tc>
      </w:tr>
      <w:tr w:rsidR="009F656B" w:rsidRPr="00A06A4C" w14:paraId="07EDFEA7" w14:textId="77777777" w:rsidTr="00425BD0">
        <w:tc>
          <w:tcPr>
            <w:tcW w:w="1384" w:type="dxa"/>
          </w:tcPr>
          <w:p w14:paraId="466F3279"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110</w:t>
            </w:r>
          </w:p>
        </w:tc>
        <w:tc>
          <w:tcPr>
            <w:tcW w:w="1701" w:type="dxa"/>
          </w:tcPr>
          <w:p w14:paraId="32F02220"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3300</w:t>
            </w:r>
          </w:p>
        </w:tc>
        <w:tc>
          <w:tcPr>
            <w:tcW w:w="1701" w:type="dxa"/>
          </w:tcPr>
          <w:p w14:paraId="4159FB1E"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33</w:t>
            </w:r>
          </w:p>
        </w:tc>
        <w:tc>
          <w:tcPr>
            <w:tcW w:w="4501" w:type="dxa"/>
          </w:tcPr>
          <w:p w14:paraId="34039167"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11</w:t>
            </w:r>
          </w:p>
        </w:tc>
      </w:tr>
      <w:tr w:rsidR="009F656B" w:rsidRPr="00A06A4C" w14:paraId="451AC4A1" w14:textId="77777777" w:rsidTr="00425BD0">
        <w:tc>
          <w:tcPr>
            <w:tcW w:w="1384" w:type="dxa"/>
          </w:tcPr>
          <w:p w14:paraId="504F052A"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115</w:t>
            </w:r>
          </w:p>
        </w:tc>
        <w:tc>
          <w:tcPr>
            <w:tcW w:w="1701" w:type="dxa"/>
          </w:tcPr>
          <w:p w14:paraId="0285F474"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3450</w:t>
            </w:r>
          </w:p>
        </w:tc>
        <w:tc>
          <w:tcPr>
            <w:tcW w:w="1701" w:type="dxa"/>
          </w:tcPr>
          <w:p w14:paraId="67FFB199"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34.5</w:t>
            </w:r>
          </w:p>
        </w:tc>
        <w:tc>
          <w:tcPr>
            <w:tcW w:w="4501" w:type="dxa"/>
          </w:tcPr>
          <w:p w14:paraId="574D21E9"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11.5</w:t>
            </w:r>
          </w:p>
        </w:tc>
      </w:tr>
      <w:tr w:rsidR="009F656B" w:rsidRPr="00A06A4C" w14:paraId="5C471EDF" w14:textId="77777777" w:rsidTr="00425BD0">
        <w:tc>
          <w:tcPr>
            <w:tcW w:w="1384" w:type="dxa"/>
          </w:tcPr>
          <w:p w14:paraId="2EF63E4A"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120</w:t>
            </w:r>
          </w:p>
        </w:tc>
        <w:tc>
          <w:tcPr>
            <w:tcW w:w="1701" w:type="dxa"/>
          </w:tcPr>
          <w:p w14:paraId="37C062A4"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3600</w:t>
            </w:r>
          </w:p>
        </w:tc>
        <w:tc>
          <w:tcPr>
            <w:tcW w:w="1701" w:type="dxa"/>
          </w:tcPr>
          <w:p w14:paraId="6A950B89"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36</w:t>
            </w:r>
          </w:p>
        </w:tc>
        <w:tc>
          <w:tcPr>
            <w:tcW w:w="4501" w:type="dxa"/>
          </w:tcPr>
          <w:p w14:paraId="72E87E6D"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12</w:t>
            </w:r>
          </w:p>
        </w:tc>
      </w:tr>
      <w:tr w:rsidR="009F656B" w:rsidRPr="00A06A4C" w14:paraId="0E51F4F5" w14:textId="77777777" w:rsidTr="00425BD0">
        <w:tc>
          <w:tcPr>
            <w:tcW w:w="1384" w:type="dxa"/>
          </w:tcPr>
          <w:p w14:paraId="2F7833D8"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125</w:t>
            </w:r>
          </w:p>
        </w:tc>
        <w:tc>
          <w:tcPr>
            <w:tcW w:w="1701" w:type="dxa"/>
          </w:tcPr>
          <w:p w14:paraId="3169AF59"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3750</w:t>
            </w:r>
          </w:p>
        </w:tc>
        <w:tc>
          <w:tcPr>
            <w:tcW w:w="1701" w:type="dxa"/>
          </w:tcPr>
          <w:p w14:paraId="3E78C6EB"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37.5</w:t>
            </w:r>
          </w:p>
        </w:tc>
        <w:tc>
          <w:tcPr>
            <w:tcW w:w="4501" w:type="dxa"/>
          </w:tcPr>
          <w:p w14:paraId="3A73FA31"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12.5</w:t>
            </w:r>
          </w:p>
        </w:tc>
      </w:tr>
      <w:tr w:rsidR="009F656B" w:rsidRPr="00A06A4C" w14:paraId="7768F40F" w14:textId="77777777" w:rsidTr="00425BD0">
        <w:tc>
          <w:tcPr>
            <w:tcW w:w="1384" w:type="dxa"/>
          </w:tcPr>
          <w:p w14:paraId="792F1598"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130</w:t>
            </w:r>
          </w:p>
        </w:tc>
        <w:tc>
          <w:tcPr>
            <w:tcW w:w="1701" w:type="dxa"/>
          </w:tcPr>
          <w:p w14:paraId="1E5C6A12"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3900</w:t>
            </w:r>
          </w:p>
        </w:tc>
        <w:tc>
          <w:tcPr>
            <w:tcW w:w="1701" w:type="dxa"/>
          </w:tcPr>
          <w:p w14:paraId="5A5E0622"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39</w:t>
            </w:r>
          </w:p>
        </w:tc>
        <w:tc>
          <w:tcPr>
            <w:tcW w:w="4501" w:type="dxa"/>
          </w:tcPr>
          <w:p w14:paraId="641E3F22"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13</w:t>
            </w:r>
          </w:p>
        </w:tc>
      </w:tr>
      <w:tr w:rsidR="009F656B" w:rsidRPr="00A06A4C" w14:paraId="49795CF8" w14:textId="77777777" w:rsidTr="00425BD0">
        <w:tc>
          <w:tcPr>
            <w:tcW w:w="1384" w:type="dxa"/>
          </w:tcPr>
          <w:p w14:paraId="1067D532"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135</w:t>
            </w:r>
          </w:p>
        </w:tc>
        <w:tc>
          <w:tcPr>
            <w:tcW w:w="1701" w:type="dxa"/>
          </w:tcPr>
          <w:p w14:paraId="7A6A8872"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4050</w:t>
            </w:r>
          </w:p>
        </w:tc>
        <w:tc>
          <w:tcPr>
            <w:tcW w:w="1701" w:type="dxa"/>
          </w:tcPr>
          <w:p w14:paraId="640180D6"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40.5</w:t>
            </w:r>
          </w:p>
        </w:tc>
        <w:tc>
          <w:tcPr>
            <w:tcW w:w="4501" w:type="dxa"/>
          </w:tcPr>
          <w:p w14:paraId="28B882A9"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13.5</w:t>
            </w:r>
          </w:p>
        </w:tc>
      </w:tr>
      <w:tr w:rsidR="009F656B" w:rsidRPr="00A06A4C" w14:paraId="329EC95F" w14:textId="77777777" w:rsidTr="00425BD0">
        <w:tc>
          <w:tcPr>
            <w:tcW w:w="1384" w:type="dxa"/>
          </w:tcPr>
          <w:p w14:paraId="4FF06C30"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140</w:t>
            </w:r>
          </w:p>
        </w:tc>
        <w:tc>
          <w:tcPr>
            <w:tcW w:w="1701" w:type="dxa"/>
          </w:tcPr>
          <w:p w14:paraId="55733BF6"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4200</w:t>
            </w:r>
          </w:p>
        </w:tc>
        <w:tc>
          <w:tcPr>
            <w:tcW w:w="1701" w:type="dxa"/>
          </w:tcPr>
          <w:p w14:paraId="40D033FE"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42</w:t>
            </w:r>
          </w:p>
        </w:tc>
        <w:tc>
          <w:tcPr>
            <w:tcW w:w="4501" w:type="dxa"/>
          </w:tcPr>
          <w:p w14:paraId="0E677922"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14</w:t>
            </w:r>
          </w:p>
        </w:tc>
      </w:tr>
      <w:tr w:rsidR="009F656B" w:rsidRPr="00A06A4C" w14:paraId="7191F49A" w14:textId="77777777" w:rsidTr="00425BD0">
        <w:tc>
          <w:tcPr>
            <w:tcW w:w="1384" w:type="dxa"/>
          </w:tcPr>
          <w:p w14:paraId="10A007F3"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145</w:t>
            </w:r>
          </w:p>
        </w:tc>
        <w:tc>
          <w:tcPr>
            <w:tcW w:w="1701" w:type="dxa"/>
          </w:tcPr>
          <w:p w14:paraId="665D9EDC"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4350</w:t>
            </w:r>
          </w:p>
        </w:tc>
        <w:tc>
          <w:tcPr>
            <w:tcW w:w="1701" w:type="dxa"/>
          </w:tcPr>
          <w:p w14:paraId="30A456DB"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43.5</w:t>
            </w:r>
          </w:p>
        </w:tc>
        <w:tc>
          <w:tcPr>
            <w:tcW w:w="4501" w:type="dxa"/>
          </w:tcPr>
          <w:p w14:paraId="2BA4EFD8"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14.5</w:t>
            </w:r>
          </w:p>
        </w:tc>
      </w:tr>
      <w:tr w:rsidR="009F656B" w:rsidRPr="00A06A4C" w14:paraId="52D390B1" w14:textId="77777777" w:rsidTr="00425BD0">
        <w:tc>
          <w:tcPr>
            <w:tcW w:w="1384" w:type="dxa"/>
          </w:tcPr>
          <w:p w14:paraId="0761AE90"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150</w:t>
            </w:r>
          </w:p>
        </w:tc>
        <w:tc>
          <w:tcPr>
            <w:tcW w:w="1701" w:type="dxa"/>
          </w:tcPr>
          <w:p w14:paraId="49726C1B"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4500</w:t>
            </w:r>
          </w:p>
        </w:tc>
        <w:tc>
          <w:tcPr>
            <w:tcW w:w="1701" w:type="dxa"/>
          </w:tcPr>
          <w:p w14:paraId="45AA1E93"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45</w:t>
            </w:r>
          </w:p>
        </w:tc>
        <w:tc>
          <w:tcPr>
            <w:tcW w:w="4501" w:type="dxa"/>
          </w:tcPr>
          <w:p w14:paraId="2A63D448"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15</w:t>
            </w:r>
          </w:p>
        </w:tc>
      </w:tr>
    </w:tbl>
    <w:p w14:paraId="1962BB88" w14:textId="77777777" w:rsidR="003F6F17" w:rsidRPr="00A06A4C" w:rsidRDefault="00E164C3" w:rsidP="003F6F17">
      <w:pPr>
        <w:tabs>
          <w:tab w:val="left" w:pos="567"/>
        </w:tabs>
        <w:jc w:val="both"/>
        <w:rPr>
          <w:rFonts w:eastAsia="Calibri"/>
          <w:i/>
          <w:iCs/>
          <w:sz w:val="28"/>
          <w:szCs w:val="28"/>
          <w:lang w:eastAsia="hu-HU"/>
        </w:rPr>
      </w:pPr>
      <w:r w:rsidRPr="00A06A4C">
        <w:rPr>
          <w:rFonts w:eastAsia="Calibri"/>
          <w:i/>
          <w:iCs/>
          <w:sz w:val="28"/>
          <w:szCs w:val="28"/>
          <w:lang w:val="kk" w:eastAsia="hu-HU"/>
        </w:rPr>
        <w:t>Артерия желісіне инъекция:</w:t>
      </w:r>
    </w:p>
    <w:p w14:paraId="7BC11317" w14:textId="77777777" w:rsidR="003F6F17" w:rsidRPr="00A06A4C" w:rsidRDefault="00E164C3" w:rsidP="003F6F17">
      <w:pPr>
        <w:tabs>
          <w:tab w:val="left" w:pos="567"/>
        </w:tabs>
        <w:jc w:val="both"/>
        <w:rPr>
          <w:rFonts w:eastAsia="Calibri"/>
          <w:sz w:val="28"/>
          <w:szCs w:val="28"/>
          <w:lang w:eastAsia="hu-HU"/>
        </w:rPr>
      </w:pPr>
      <w:r w:rsidRPr="00A06A4C">
        <w:rPr>
          <w:rFonts w:eastAsia="Calibri"/>
          <w:sz w:val="28"/>
          <w:szCs w:val="28"/>
          <w:lang w:val="kk" w:eastAsia="hu-HU"/>
        </w:rPr>
        <w:t>Гемодиализ уақытында экстракорпоральдік қанайналымда тромбтардың түзілуінің алдын алу үшін диализдік контурдың артериялық желісі арқылы енгізіледі.</w:t>
      </w:r>
    </w:p>
    <w:p w14:paraId="39064C85" w14:textId="77777777" w:rsidR="003F6F17" w:rsidRPr="00A06A4C" w:rsidRDefault="00E164C3" w:rsidP="003F6F17">
      <w:pPr>
        <w:tabs>
          <w:tab w:val="left" w:pos="567"/>
        </w:tabs>
        <w:jc w:val="both"/>
        <w:rPr>
          <w:rFonts w:eastAsia="Calibri"/>
          <w:i/>
          <w:sz w:val="28"/>
          <w:szCs w:val="28"/>
          <w:u w:val="single"/>
          <w:lang w:eastAsia="hu-HU"/>
        </w:rPr>
      </w:pPr>
      <w:r w:rsidRPr="00A06A4C">
        <w:rPr>
          <w:rFonts w:eastAsia="Calibri"/>
          <w:i/>
          <w:sz w:val="28"/>
          <w:szCs w:val="28"/>
          <w:u w:val="single"/>
          <w:lang w:val="kk" w:eastAsia="hu-HU"/>
        </w:rPr>
        <w:t xml:space="preserve">Натрий эноксапаринінен пероральді антикоагулянттарға ауысу </w:t>
      </w:r>
    </w:p>
    <w:p w14:paraId="41B26B33" w14:textId="77777777" w:rsidR="003F6F17" w:rsidRPr="00A06A4C" w:rsidRDefault="00E164C3" w:rsidP="003F6F17">
      <w:pPr>
        <w:tabs>
          <w:tab w:val="left" w:pos="567"/>
        </w:tabs>
        <w:jc w:val="both"/>
        <w:rPr>
          <w:rFonts w:eastAsia="Calibri"/>
          <w:i/>
          <w:sz w:val="28"/>
          <w:szCs w:val="28"/>
          <w:lang w:eastAsia="hu-HU"/>
        </w:rPr>
      </w:pPr>
      <w:r w:rsidRPr="00A06A4C">
        <w:rPr>
          <w:rFonts w:eastAsia="Calibri"/>
          <w:i/>
          <w:sz w:val="28"/>
          <w:szCs w:val="28"/>
          <w:lang w:val="kk" w:eastAsia="hu-HU"/>
        </w:rPr>
        <w:t xml:space="preserve">- Натрий эноксапаринінен К дәруменінің антагонистеріне (КДА) ауысу: </w:t>
      </w:r>
    </w:p>
    <w:p w14:paraId="74C7580B" w14:textId="77777777" w:rsidR="003F6F17" w:rsidRPr="00A06A4C" w:rsidRDefault="00E164C3" w:rsidP="003F6F17">
      <w:pPr>
        <w:tabs>
          <w:tab w:val="left" w:pos="567"/>
        </w:tabs>
        <w:jc w:val="both"/>
        <w:rPr>
          <w:rFonts w:eastAsia="Calibri"/>
          <w:sz w:val="28"/>
          <w:szCs w:val="28"/>
          <w:lang w:val="kk" w:eastAsia="hu-HU"/>
        </w:rPr>
      </w:pPr>
      <w:r w:rsidRPr="00A06A4C">
        <w:rPr>
          <w:rFonts w:eastAsia="Calibri"/>
          <w:sz w:val="28"/>
          <w:szCs w:val="28"/>
          <w:lang w:val="kk" w:eastAsia="hu-HU"/>
        </w:rPr>
        <w:t>КДА әсерін бақылау үшін клиникалық мониторингті және зертханалық тесттерді [Халықаралық Қалыптастыру Коэффициенті (ХҚК) ретінде көрсетілген протромбин уақыты] күшейту қажет. КДА өзінің ең жоғарғы әсеріне жеткенге дейін қандай да бір уақыт аралығы өтетіндіктен, екі бірізді тесттердегі көрсетілімдер үшін натрий эноксапаринімен емді тұрақты дозада ХҚК қажетті емдік диапазонда ұстап тұру үшін қанша қажет болса, сонша жалғастыру керек.</w:t>
      </w:r>
    </w:p>
    <w:p w14:paraId="1E899A01" w14:textId="77777777" w:rsidR="003F6F17" w:rsidRPr="00A06A4C" w:rsidRDefault="00E164C3" w:rsidP="003F6F17">
      <w:pPr>
        <w:tabs>
          <w:tab w:val="left" w:pos="567"/>
        </w:tabs>
        <w:jc w:val="both"/>
        <w:rPr>
          <w:rFonts w:eastAsia="Calibri"/>
          <w:sz w:val="28"/>
          <w:szCs w:val="28"/>
          <w:lang w:val="kk" w:eastAsia="hu-HU"/>
        </w:rPr>
      </w:pPr>
      <w:r w:rsidRPr="00A06A4C">
        <w:rPr>
          <w:rFonts w:eastAsia="Calibri"/>
          <w:sz w:val="28"/>
          <w:szCs w:val="28"/>
          <w:lang w:val="kk" w:eastAsia="hu-HU"/>
        </w:rPr>
        <w:t>Қазіргі сәтте КДА қабылдап жүрген пациенттерге КДА қабылдауды тоқтату, және натрий эноксапаринінің алғашқы дозасын ХҚК емдік диапазоннан төмен түскен кезде беру керек.</w:t>
      </w:r>
    </w:p>
    <w:p w14:paraId="1FE5E385" w14:textId="77777777" w:rsidR="003F6F17" w:rsidRPr="00A06A4C" w:rsidRDefault="00E164C3" w:rsidP="003F6F17">
      <w:pPr>
        <w:tabs>
          <w:tab w:val="left" w:pos="567"/>
        </w:tabs>
        <w:jc w:val="both"/>
        <w:rPr>
          <w:rFonts w:eastAsia="Calibri"/>
          <w:sz w:val="28"/>
          <w:szCs w:val="28"/>
          <w:lang w:val="kk" w:eastAsia="hu-HU"/>
        </w:rPr>
      </w:pPr>
      <w:r w:rsidRPr="00A06A4C">
        <w:rPr>
          <w:rFonts w:eastAsia="Calibri"/>
          <w:sz w:val="28"/>
          <w:szCs w:val="28"/>
          <w:lang w:val="kk" w:eastAsia="hu-HU"/>
        </w:rPr>
        <w:t xml:space="preserve">- </w:t>
      </w:r>
      <w:r w:rsidRPr="00A06A4C">
        <w:rPr>
          <w:rFonts w:eastAsia="Calibri"/>
          <w:i/>
          <w:sz w:val="28"/>
          <w:szCs w:val="28"/>
          <w:lang w:val="kk" w:eastAsia="hu-HU"/>
        </w:rPr>
        <w:t>Натрий эноксапаринінен тікелей әсер ететін пероральді антикоагулянттарға (ТӘПА) ауысу:</w:t>
      </w:r>
      <w:r w:rsidRPr="00A06A4C">
        <w:rPr>
          <w:rFonts w:eastAsia="Calibri"/>
          <w:sz w:val="28"/>
          <w:szCs w:val="28"/>
          <w:lang w:val="kk" w:eastAsia="hu-HU"/>
        </w:rPr>
        <w:t xml:space="preserve"> қазіргі сәтте натрий эноксапаринін қабылдап жүрген пациенттерге натрий эноксапаринін қабылдауды тоқтату және натрий эноксапаринін келесі жоспарлы енгізу уақыты басталардан 0-2 сағат бұрын ТӘПА қолдану жөніндегі нұсқаулыққа сәйкес ТӘПА емін бастау керек.</w:t>
      </w:r>
    </w:p>
    <w:p w14:paraId="51561FE9" w14:textId="77777777" w:rsidR="003F6F17" w:rsidRPr="00A06A4C" w:rsidRDefault="00E164C3" w:rsidP="003F6F17">
      <w:pPr>
        <w:tabs>
          <w:tab w:val="left" w:pos="567"/>
        </w:tabs>
        <w:jc w:val="both"/>
        <w:rPr>
          <w:rFonts w:eastAsia="Calibri"/>
          <w:sz w:val="28"/>
          <w:szCs w:val="28"/>
          <w:lang w:val="kk" w:eastAsia="hu-HU"/>
        </w:rPr>
      </w:pPr>
      <w:r w:rsidRPr="00A06A4C">
        <w:rPr>
          <w:rFonts w:eastAsia="Calibri"/>
          <w:sz w:val="28"/>
          <w:szCs w:val="28"/>
          <w:lang w:val="kk" w:eastAsia="hu-HU"/>
        </w:rPr>
        <w:lastRenderedPageBreak/>
        <w:t xml:space="preserve">Қазіргі сәтте ТӘПА қабылдап жүрген пациенттерге, натрий эноксапаринінің алғашқы дозасын келесі ТӘПА дозасы қабылдануы тиіс уақытта беру керек.  </w:t>
      </w:r>
    </w:p>
    <w:p w14:paraId="70130921" w14:textId="77777777" w:rsidR="003F6F17" w:rsidRPr="00A06A4C" w:rsidRDefault="00E164C3" w:rsidP="003F6F17">
      <w:pPr>
        <w:tabs>
          <w:tab w:val="left" w:pos="567"/>
        </w:tabs>
        <w:jc w:val="both"/>
        <w:rPr>
          <w:rFonts w:eastAsia="Calibri"/>
          <w:i/>
          <w:iCs/>
          <w:sz w:val="28"/>
          <w:szCs w:val="28"/>
          <w:u w:val="single"/>
          <w:lang w:eastAsia="hu-HU"/>
        </w:rPr>
      </w:pPr>
      <w:r w:rsidRPr="00A06A4C">
        <w:rPr>
          <w:rFonts w:eastAsia="Calibri"/>
          <w:i/>
          <w:iCs/>
          <w:sz w:val="28"/>
          <w:szCs w:val="28"/>
          <w:u w:val="single"/>
          <w:lang w:val="kk" w:eastAsia="hu-HU"/>
        </w:rPr>
        <w:t>Жұлын/эпидуральді анестезия немесе бел пункциясы кезінде енгізу</w:t>
      </w:r>
    </w:p>
    <w:p w14:paraId="25522EE0" w14:textId="77777777" w:rsidR="003F6F17" w:rsidRPr="00A06A4C" w:rsidRDefault="00E164C3" w:rsidP="003F6F17">
      <w:pPr>
        <w:tabs>
          <w:tab w:val="left" w:pos="567"/>
        </w:tabs>
        <w:jc w:val="both"/>
        <w:rPr>
          <w:rFonts w:eastAsia="Calibri"/>
          <w:sz w:val="28"/>
          <w:szCs w:val="28"/>
          <w:lang w:eastAsia="hu-HU"/>
        </w:rPr>
      </w:pPr>
      <w:r w:rsidRPr="00A06A4C">
        <w:rPr>
          <w:rFonts w:eastAsia="Calibri"/>
          <w:sz w:val="28"/>
          <w:szCs w:val="28"/>
          <w:lang w:val="kk" w:eastAsia="hu-HU"/>
        </w:rPr>
        <w:t>Егер дәрігер эпидуральді немесе жұлын анестезиясы/анальгезиясы не бел пункциясы контекстінде антикоагулянттарды тағайындау туралы шешім қабылдаса, нейроаксиальді гематомалардың пайда болу қаупіне байланысты мұқият неврологиялық мониторинг жүргізу ұсынылады.</w:t>
      </w:r>
    </w:p>
    <w:p w14:paraId="5CDD12D4" w14:textId="77777777" w:rsidR="003F6F17" w:rsidRPr="00A06A4C" w:rsidRDefault="00E164C3" w:rsidP="003F6F17">
      <w:pPr>
        <w:tabs>
          <w:tab w:val="left" w:pos="567"/>
        </w:tabs>
        <w:jc w:val="both"/>
        <w:rPr>
          <w:rFonts w:eastAsia="Calibri"/>
          <w:i/>
          <w:iCs/>
          <w:sz w:val="28"/>
          <w:szCs w:val="28"/>
          <w:lang w:eastAsia="hu-HU"/>
        </w:rPr>
      </w:pPr>
      <w:r w:rsidRPr="00A06A4C">
        <w:rPr>
          <w:rFonts w:eastAsia="Calibri"/>
          <w:i/>
          <w:iCs/>
          <w:sz w:val="28"/>
          <w:szCs w:val="28"/>
          <w:lang w:val="kk" w:eastAsia="hu-HU"/>
        </w:rPr>
        <w:t>Профилактика үшін қолданылатын дозаларда</w:t>
      </w:r>
    </w:p>
    <w:p w14:paraId="2828257C" w14:textId="77777777" w:rsidR="003F6F17" w:rsidRPr="00A06A4C" w:rsidRDefault="00E164C3" w:rsidP="003F6F17">
      <w:pPr>
        <w:tabs>
          <w:tab w:val="left" w:pos="567"/>
        </w:tabs>
        <w:jc w:val="both"/>
        <w:rPr>
          <w:rFonts w:eastAsia="Calibri"/>
          <w:sz w:val="28"/>
          <w:szCs w:val="28"/>
          <w:lang w:eastAsia="hu-HU"/>
        </w:rPr>
      </w:pPr>
      <w:r w:rsidRPr="00A06A4C">
        <w:rPr>
          <w:rFonts w:eastAsia="Calibri"/>
          <w:sz w:val="28"/>
          <w:szCs w:val="28"/>
          <w:lang w:val="kk" w:eastAsia="hu-HU"/>
        </w:rPr>
        <w:t>• Натрий эноксапаринінің профилактикалық дозалардағы соңғы инъекциясы мен инені немесе катетерді орнату арасында кемінде 12 сағат пункциясыз аралық сақталуы керек.</w:t>
      </w:r>
    </w:p>
    <w:p w14:paraId="2732D10D" w14:textId="77777777" w:rsidR="003F6F17" w:rsidRPr="00A06A4C" w:rsidRDefault="00E164C3" w:rsidP="003F6F17">
      <w:pPr>
        <w:tabs>
          <w:tab w:val="left" w:pos="567"/>
        </w:tabs>
        <w:jc w:val="both"/>
        <w:rPr>
          <w:rFonts w:eastAsia="Calibri"/>
          <w:sz w:val="28"/>
          <w:szCs w:val="28"/>
          <w:lang w:eastAsia="hu-HU"/>
        </w:rPr>
      </w:pPr>
      <w:r w:rsidRPr="00A06A4C">
        <w:rPr>
          <w:rFonts w:eastAsia="Calibri"/>
          <w:sz w:val="28"/>
          <w:szCs w:val="28"/>
          <w:lang w:val="kk" w:eastAsia="hu-HU"/>
        </w:rPr>
        <w:t>• Үздіксіз әдістер үшін катетерді алудың алдында кемінде 12 сағат ұқсас кешіктіруді сақтау керек.</w:t>
      </w:r>
    </w:p>
    <w:p w14:paraId="638AB2BE" w14:textId="77777777" w:rsidR="003F6F17" w:rsidRPr="00A06A4C" w:rsidRDefault="00E164C3" w:rsidP="003F6F17">
      <w:pPr>
        <w:tabs>
          <w:tab w:val="left" w:pos="567"/>
        </w:tabs>
        <w:jc w:val="both"/>
        <w:rPr>
          <w:rFonts w:eastAsia="Calibri"/>
          <w:sz w:val="28"/>
          <w:szCs w:val="28"/>
          <w:lang w:eastAsia="hu-HU"/>
        </w:rPr>
      </w:pPr>
      <w:r w:rsidRPr="00A06A4C">
        <w:rPr>
          <w:rFonts w:eastAsia="Calibri"/>
          <w:sz w:val="28"/>
          <w:szCs w:val="28"/>
          <w:lang w:val="kk" w:eastAsia="hu-HU"/>
        </w:rPr>
        <w:t>• Креатинин клиренсі [15–30] мл/мин пациенттер үшін пункция/катетерді орнату немесе алып тастау уақытын кемінде 24 сағатқа дейін екі еселеу мүмкіндігін қарастырыңыз.</w:t>
      </w:r>
    </w:p>
    <w:p w14:paraId="5AF806C0" w14:textId="77777777" w:rsidR="003F6F17" w:rsidRPr="00A06A4C" w:rsidRDefault="00E164C3" w:rsidP="003F6F17">
      <w:pPr>
        <w:tabs>
          <w:tab w:val="left" w:pos="567"/>
        </w:tabs>
        <w:jc w:val="both"/>
        <w:rPr>
          <w:rFonts w:eastAsia="Calibri"/>
          <w:sz w:val="28"/>
          <w:szCs w:val="28"/>
          <w:lang w:eastAsia="hu-HU"/>
        </w:rPr>
      </w:pPr>
      <w:r w:rsidRPr="00A06A4C">
        <w:rPr>
          <w:rFonts w:eastAsia="Calibri"/>
          <w:sz w:val="28"/>
          <w:szCs w:val="28"/>
          <w:lang w:val="kk" w:eastAsia="hu-HU"/>
        </w:rPr>
        <w:t>• 2000 ХБ (20 мг) натрий эноксапаринін екі сағаттық операция алдында қабылдауды бастау нейроаксиальді анестезиямен үйлеспейді.</w:t>
      </w:r>
    </w:p>
    <w:p w14:paraId="7827EAE2" w14:textId="77777777" w:rsidR="003F6F17" w:rsidRPr="00A06A4C" w:rsidRDefault="00E164C3" w:rsidP="003F6F17">
      <w:pPr>
        <w:tabs>
          <w:tab w:val="left" w:pos="567"/>
        </w:tabs>
        <w:jc w:val="both"/>
        <w:rPr>
          <w:rFonts w:eastAsia="Calibri"/>
          <w:i/>
          <w:iCs/>
          <w:sz w:val="28"/>
          <w:szCs w:val="28"/>
          <w:lang w:eastAsia="hu-HU"/>
        </w:rPr>
      </w:pPr>
      <w:r w:rsidRPr="00A06A4C">
        <w:rPr>
          <w:rFonts w:eastAsia="Calibri"/>
          <w:i/>
          <w:iCs/>
          <w:sz w:val="28"/>
          <w:szCs w:val="28"/>
          <w:lang w:val="kk" w:eastAsia="hu-HU"/>
        </w:rPr>
        <w:t>Емдеу үшін қолданылатын дозаларда</w:t>
      </w:r>
    </w:p>
    <w:p w14:paraId="2E6AD8F6" w14:textId="77777777" w:rsidR="003F6F17" w:rsidRPr="00A06A4C" w:rsidRDefault="00E164C3" w:rsidP="003F6F17">
      <w:pPr>
        <w:tabs>
          <w:tab w:val="left" w:pos="567"/>
        </w:tabs>
        <w:jc w:val="both"/>
        <w:rPr>
          <w:rFonts w:eastAsia="Calibri"/>
          <w:sz w:val="28"/>
          <w:szCs w:val="28"/>
          <w:lang w:eastAsia="hu-HU"/>
        </w:rPr>
      </w:pPr>
      <w:r w:rsidRPr="00A06A4C">
        <w:rPr>
          <w:rFonts w:eastAsia="Calibri"/>
          <w:sz w:val="28"/>
          <w:szCs w:val="28"/>
          <w:lang w:val="kk" w:eastAsia="hu-HU"/>
        </w:rPr>
        <w:t>• Емдік дозадағы натрий эноксапаринінің соңғы инъекциясы мен инені немесе катетерді орнату арасында кемінде 24 сағат пункциясыз аралық сақталуы керек.</w:t>
      </w:r>
    </w:p>
    <w:p w14:paraId="54122EC1" w14:textId="77777777" w:rsidR="003F6F17" w:rsidRPr="00A06A4C" w:rsidRDefault="00E164C3" w:rsidP="003F6F17">
      <w:pPr>
        <w:tabs>
          <w:tab w:val="left" w:pos="567"/>
        </w:tabs>
        <w:jc w:val="both"/>
        <w:rPr>
          <w:rFonts w:eastAsia="Calibri"/>
          <w:sz w:val="28"/>
          <w:szCs w:val="28"/>
          <w:lang w:eastAsia="hu-HU"/>
        </w:rPr>
      </w:pPr>
      <w:r w:rsidRPr="00A06A4C">
        <w:rPr>
          <w:rFonts w:eastAsia="Calibri"/>
          <w:sz w:val="28"/>
          <w:szCs w:val="28"/>
          <w:lang w:val="kk" w:eastAsia="hu-HU"/>
        </w:rPr>
        <w:t xml:space="preserve">• Үздіксіз әдістер кезінде катетерді алудың алдында 24 сағат ұқсас кешіктіруді сақтау керек. </w:t>
      </w:r>
    </w:p>
    <w:p w14:paraId="589896B3" w14:textId="77777777" w:rsidR="003F6F17" w:rsidRPr="00A06A4C" w:rsidRDefault="00E164C3" w:rsidP="003F6F17">
      <w:pPr>
        <w:tabs>
          <w:tab w:val="left" w:pos="567"/>
        </w:tabs>
        <w:jc w:val="both"/>
        <w:rPr>
          <w:rFonts w:eastAsia="Calibri"/>
          <w:sz w:val="28"/>
          <w:szCs w:val="28"/>
          <w:lang w:eastAsia="hu-HU"/>
        </w:rPr>
      </w:pPr>
      <w:r w:rsidRPr="00A06A4C">
        <w:rPr>
          <w:rFonts w:eastAsia="Calibri"/>
          <w:sz w:val="28"/>
          <w:szCs w:val="28"/>
          <w:lang w:val="kk" w:eastAsia="hu-HU"/>
        </w:rPr>
        <w:t>• Креатинин клиренсі [15–30] мл/мин пациенттер үшін пункция/катетерді орнату немесе алып тастау уақытын кемінде 48 сағатқа дейін екі еселеу мүмкіндігін қарастырыңыз.</w:t>
      </w:r>
    </w:p>
    <w:p w14:paraId="70DA4324" w14:textId="77777777" w:rsidR="003F6F17" w:rsidRPr="00A06A4C" w:rsidRDefault="00E164C3" w:rsidP="003F6F17">
      <w:pPr>
        <w:tabs>
          <w:tab w:val="left" w:pos="567"/>
        </w:tabs>
        <w:jc w:val="both"/>
        <w:rPr>
          <w:rFonts w:eastAsia="Calibri"/>
          <w:sz w:val="28"/>
          <w:szCs w:val="28"/>
          <w:lang w:eastAsia="hu-HU"/>
        </w:rPr>
      </w:pPr>
      <w:r w:rsidRPr="00A06A4C">
        <w:rPr>
          <w:rFonts w:eastAsia="Calibri"/>
          <w:sz w:val="28"/>
          <w:szCs w:val="28"/>
          <w:lang w:val="kk" w:eastAsia="hu-HU"/>
        </w:rPr>
        <w:t>• Дозаны күніне екі рет (яғни 75 ХБ/кг (0,75 мг/кг) күніне екі рет немесе 100 ХБ/кг (1 мг/кг) күніне екі рет) қабылдайтын пациенттерге, катетерді орнату немесе алып тастау алдында жеткілікті кешіктіруді қамтамасыз ету үшін натрий эноксапариннің екінші дозасын өткізіп жіберу керек.</w:t>
      </w:r>
    </w:p>
    <w:p w14:paraId="004EAE6C" w14:textId="77777777" w:rsidR="003F6F17" w:rsidRPr="00A06A4C" w:rsidRDefault="00E164C3" w:rsidP="003F6F17">
      <w:pPr>
        <w:tabs>
          <w:tab w:val="left" w:pos="567"/>
        </w:tabs>
        <w:jc w:val="both"/>
        <w:rPr>
          <w:rFonts w:eastAsia="Calibri"/>
          <w:sz w:val="28"/>
          <w:szCs w:val="28"/>
          <w:lang w:eastAsia="hu-HU"/>
        </w:rPr>
      </w:pPr>
      <w:r w:rsidRPr="00A06A4C">
        <w:rPr>
          <w:rFonts w:eastAsia="Calibri"/>
          <w:sz w:val="28"/>
          <w:szCs w:val="28"/>
          <w:lang w:val="kk" w:eastAsia="hu-HU"/>
        </w:rPr>
        <w:t>Анти-Ха деңгейлері бұл уақыт нүктелерінде әлі де анықталады және бұл кешіктірулер нейроаксиальді гематоманың алдын алуға кепілдік бере алмайды.</w:t>
      </w:r>
    </w:p>
    <w:p w14:paraId="65861FE7" w14:textId="77777777" w:rsidR="003F6F17" w:rsidRPr="00A06A4C" w:rsidRDefault="00E164C3" w:rsidP="003F6F17">
      <w:pPr>
        <w:tabs>
          <w:tab w:val="left" w:pos="567"/>
        </w:tabs>
        <w:jc w:val="both"/>
        <w:rPr>
          <w:rFonts w:eastAsia="Calibri"/>
          <w:sz w:val="28"/>
          <w:szCs w:val="28"/>
          <w:lang w:val="kk" w:eastAsia="hu-HU"/>
        </w:rPr>
      </w:pPr>
      <w:r w:rsidRPr="00A06A4C">
        <w:rPr>
          <w:rFonts w:eastAsia="Calibri"/>
          <w:sz w:val="28"/>
          <w:szCs w:val="28"/>
          <w:lang w:val="kk" w:eastAsia="hu-HU"/>
        </w:rPr>
        <w:t>Натрий эноксапаринін жұлын/эпидуральді пункциядан немесе катетерді алып тастағаннан кейін ең кемі 4 сағат бойы қолданбау мүмкіндігін қарастырыңыз. Кейінге қалдыру пациент үшін қауіп факторлары мен емшара контекстінде тромбоз қаупін, сондай-ақ қан кету қаупін ескере отырып, пайда мен қауіпті бағалауға негізделуі тиіс.</w:t>
      </w:r>
    </w:p>
    <w:p w14:paraId="6582C360" w14:textId="77777777" w:rsidR="003F6F17" w:rsidRPr="00A06A4C" w:rsidRDefault="003F6F17" w:rsidP="000D73E2">
      <w:pPr>
        <w:tabs>
          <w:tab w:val="left" w:pos="567"/>
        </w:tabs>
        <w:jc w:val="both"/>
        <w:rPr>
          <w:rFonts w:eastAsia="Calibri"/>
          <w:sz w:val="28"/>
          <w:szCs w:val="28"/>
          <w:lang w:val="kk" w:eastAsia="hu-HU"/>
        </w:rPr>
      </w:pPr>
    </w:p>
    <w:p w14:paraId="648E15A9" w14:textId="77777777" w:rsidR="00084A63" w:rsidRPr="00A06A4C" w:rsidRDefault="00E164C3" w:rsidP="00D80AD5">
      <w:pPr>
        <w:jc w:val="both"/>
        <w:rPr>
          <w:i/>
          <w:sz w:val="28"/>
          <w:szCs w:val="28"/>
          <w:lang w:val="kk" w:eastAsia="en-US"/>
        </w:rPr>
      </w:pPr>
      <w:r w:rsidRPr="00A06A4C">
        <w:rPr>
          <w:b/>
          <w:i/>
          <w:sz w:val="28"/>
          <w:szCs w:val="28"/>
          <w:lang w:val="kk" w:eastAsia="en-US"/>
        </w:rPr>
        <w:t xml:space="preserve">Артық дозалану жағдайында қабылдау қажет болатын шаралар </w:t>
      </w:r>
    </w:p>
    <w:p w14:paraId="39E1E1CA" w14:textId="77777777" w:rsidR="005770F9" w:rsidRPr="00A06A4C" w:rsidRDefault="00E164C3" w:rsidP="00D80AD5">
      <w:pPr>
        <w:autoSpaceDE w:val="0"/>
        <w:autoSpaceDN w:val="0"/>
        <w:adjustRightInd w:val="0"/>
        <w:jc w:val="both"/>
        <w:rPr>
          <w:b/>
          <w:i/>
          <w:sz w:val="28"/>
          <w:szCs w:val="28"/>
          <w:lang w:val="kk" w:eastAsia="hu-HU"/>
        </w:rPr>
      </w:pPr>
      <w:bookmarkStart w:id="3" w:name="2175220278"/>
      <w:bookmarkEnd w:id="3"/>
      <w:r w:rsidRPr="00A06A4C">
        <w:rPr>
          <w:i/>
          <w:sz w:val="28"/>
          <w:szCs w:val="28"/>
          <w:lang w:val="kk" w:eastAsia="hu-HU"/>
        </w:rPr>
        <w:t>Симптомдары:</w:t>
      </w:r>
      <w:r w:rsidRPr="00A06A4C">
        <w:rPr>
          <w:sz w:val="28"/>
          <w:szCs w:val="28"/>
          <w:lang w:val="kk" w:eastAsia="hu-HU"/>
        </w:rPr>
        <w:t xml:space="preserve"> венаішілік, экстракорпоральді немесе теріастылық енгізуден кейін натрий эноксапаринімен кездейсоқ артық дозалану қан </w:t>
      </w:r>
      <w:r w:rsidRPr="00A06A4C">
        <w:rPr>
          <w:sz w:val="28"/>
          <w:szCs w:val="28"/>
          <w:lang w:val="kk" w:eastAsia="hu-HU"/>
        </w:rPr>
        <w:lastRenderedPageBreak/>
        <w:t>кетулерге әкелуі мүмкін. Тіпті үлкен дозаларын ішке қабылдағанда да натрий эноксапаринінің сіңірілу ықтималдығы аз.</w:t>
      </w:r>
    </w:p>
    <w:p w14:paraId="299FE3B7" w14:textId="77777777" w:rsidR="005770F9" w:rsidRPr="00A06A4C" w:rsidRDefault="00E164C3" w:rsidP="00D80AD5">
      <w:pPr>
        <w:autoSpaceDE w:val="0"/>
        <w:autoSpaceDN w:val="0"/>
        <w:adjustRightInd w:val="0"/>
        <w:jc w:val="both"/>
        <w:rPr>
          <w:sz w:val="28"/>
          <w:szCs w:val="28"/>
          <w:lang w:val="kk" w:eastAsia="hu-HU"/>
        </w:rPr>
      </w:pPr>
      <w:r w:rsidRPr="00A06A4C">
        <w:rPr>
          <w:i/>
          <w:sz w:val="28"/>
          <w:szCs w:val="28"/>
          <w:lang w:val="kk" w:eastAsia="hu-HU"/>
        </w:rPr>
        <w:t>Емі:</w:t>
      </w:r>
      <w:r w:rsidRPr="00A06A4C">
        <w:rPr>
          <w:sz w:val="28"/>
          <w:szCs w:val="28"/>
          <w:lang w:val="kk" w:eastAsia="hu-HU"/>
        </w:rPr>
        <w:t xml:space="preserve"> протамин сульфатын вена ішіне баяу енгізу арқылы антикоагулянттық әсерін едәуір бейтараптандыруға болады. </w:t>
      </w:r>
    </w:p>
    <w:p w14:paraId="75EFBB71" w14:textId="77777777" w:rsidR="005770F9" w:rsidRPr="00A06A4C" w:rsidRDefault="00E164C3" w:rsidP="00D80AD5">
      <w:pPr>
        <w:autoSpaceDE w:val="0"/>
        <w:autoSpaceDN w:val="0"/>
        <w:adjustRightInd w:val="0"/>
        <w:jc w:val="both"/>
        <w:rPr>
          <w:color w:val="000000"/>
          <w:sz w:val="28"/>
          <w:szCs w:val="28"/>
          <w:lang w:val="kk"/>
        </w:rPr>
      </w:pPr>
      <w:r w:rsidRPr="00A06A4C">
        <w:rPr>
          <w:color w:val="000000"/>
          <w:sz w:val="28"/>
          <w:szCs w:val="28"/>
          <w:lang w:val="kk"/>
        </w:rPr>
        <w:t>Протамин сульфатының қажетті дозасы натрий эноксапаринінің енгізілген дозасына байланысты:</w:t>
      </w:r>
    </w:p>
    <w:p w14:paraId="08F6E7B3" w14:textId="77777777" w:rsidR="005770F9" w:rsidRPr="00A06A4C" w:rsidRDefault="00E164C3" w:rsidP="00D80AD5">
      <w:pPr>
        <w:autoSpaceDE w:val="0"/>
        <w:autoSpaceDN w:val="0"/>
        <w:adjustRightInd w:val="0"/>
        <w:jc w:val="both"/>
        <w:rPr>
          <w:color w:val="000000"/>
          <w:sz w:val="28"/>
          <w:szCs w:val="28"/>
          <w:lang w:val="kk"/>
        </w:rPr>
      </w:pPr>
      <w:r w:rsidRPr="00A06A4C">
        <w:rPr>
          <w:color w:val="000000"/>
          <w:sz w:val="28"/>
          <w:szCs w:val="28"/>
          <w:lang w:val="kk"/>
        </w:rPr>
        <w:t xml:space="preserve">- натрий эноксапарині мұның алдындағы 8 сағаттың ішінде енгізілген жағдайда,  1 мг протамин сульфаты 100 ХБ (1 мг) натрий эноксапаринінің антикоагулянттық әсерін бейтараптандырады </w:t>
      </w:r>
    </w:p>
    <w:p w14:paraId="03236512" w14:textId="77777777" w:rsidR="005770F9" w:rsidRPr="00A06A4C" w:rsidRDefault="00E164C3" w:rsidP="00D80AD5">
      <w:pPr>
        <w:autoSpaceDE w:val="0"/>
        <w:autoSpaceDN w:val="0"/>
        <w:adjustRightInd w:val="0"/>
        <w:jc w:val="both"/>
        <w:rPr>
          <w:color w:val="000000"/>
          <w:sz w:val="28"/>
          <w:szCs w:val="28"/>
          <w:lang w:val="kk"/>
        </w:rPr>
      </w:pPr>
      <w:r w:rsidRPr="00A06A4C">
        <w:rPr>
          <w:color w:val="000000"/>
          <w:sz w:val="28"/>
          <w:szCs w:val="28"/>
          <w:lang w:val="kk"/>
        </w:rPr>
        <w:t xml:space="preserve">- 0.5 мг протамин инфузиясын 100 ХБ (1 мг) натрий эноксапариніне енгізуге болады, егер натрий эноксапарині протаминді енгізуден 8 сағаттан астам уақыт бұрын енгізілсе немесе протаминнің екінші дозасы қажет екені анықталса </w:t>
      </w:r>
    </w:p>
    <w:p w14:paraId="7FE90900" w14:textId="77777777" w:rsidR="005770F9" w:rsidRPr="00A06A4C" w:rsidRDefault="00E164C3" w:rsidP="00D80AD5">
      <w:pPr>
        <w:autoSpaceDE w:val="0"/>
        <w:autoSpaceDN w:val="0"/>
        <w:adjustRightInd w:val="0"/>
        <w:jc w:val="both"/>
        <w:rPr>
          <w:color w:val="000000"/>
          <w:sz w:val="28"/>
          <w:szCs w:val="28"/>
          <w:lang w:val="kk"/>
        </w:rPr>
      </w:pPr>
      <w:r w:rsidRPr="00A06A4C">
        <w:rPr>
          <w:color w:val="000000"/>
          <w:sz w:val="28"/>
          <w:szCs w:val="28"/>
          <w:lang w:val="kk"/>
        </w:rPr>
        <w:t>- натрий эноксапарині инъекциясынан кейін 12 сағат өткен соң протаминді енгізу қажет болмауы мүмкін.</w:t>
      </w:r>
    </w:p>
    <w:p w14:paraId="2A0B3E50" w14:textId="77777777" w:rsidR="005770F9" w:rsidRPr="00A06A4C" w:rsidRDefault="00E164C3" w:rsidP="00D80AD5">
      <w:pPr>
        <w:jc w:val="both"/>
        <w:rPr>
          <w:sz w:val="28"/>
          <w:szCs w:val="28"/>
          <w:lang w:val="kk" w:eastAsia="hu-HU"/>
        </w:rPr>
      </w:pPr>
      <w:r w:rsidRPr="00A06A4C">
        <w:rPr>
          <w:sz w:val="28"/>
          <w:szCs w:val="28"/>
          <w:lang w:val="kk" w:eastAsia="hu-HU"/>
        </w:rPr>
        <w:t>Алайда, протаминнің жоғары дозаларының өзінде, натрий эноксапаринінің анти-Xa белсенділігі ешқашанда толық бейтараптанбайды (ең көбі 60%-ға жуық).</w:t>
      </w:r>
    </w:p>
    <w:p w14:paraId="0C625078" w14:textId="77777777" w:rsidR="00726CCF" w:rsidRPr="00A06A4C" w:rsidRDefault="00726CCF" w:rsidP="00D80AD5">
      <w:pPr>
        <w:jc w:val="both"/>
        <w:rPr>
          <w:sz w:val="28"/>
          <w:szCs w:val="28"/>
          <w:lang w:val="kk" w:eastAsia="en-US"/>
        </w:rPr>
      </w:pPr>
    </w:p>
    <w:p w14:paraId="32B5B10F" w14:textId="77777777" w:rsidR="00B13903" w:rsidRPr="00A06A4C" w:rsidRDefault="00E164C3" w:rsidP="00D80AD5">
      <w:pPr>
        <w:jc w:val="both"/>
        <w:rPr>
          <w:sz w:val="28"/>
          <w:szCs w:val="28"/>
          <w:lang w:val="kk" w:eastAsia="en-US"/>
        </w:rPr>
      </w:pPr>
      <w:r w:rsidRPr="00A06A4C">
        <w:rPr>
          <w:b/>
          <w:sz w:val="28"/>
          <w:szCs w:val="28"/>
          <w:lang w:val="kk" w:eastAsia="en-US"/>
        </w:rPr>
        <w:t>ДП стандартты қолдану кезінде көрініс беретін жағымсыз реакциялар сипаттамасы және осы жағдайда қабылдау керек шаралар</w:t>
      </w:r>
    </w:p>
    <w:p w14:paraId="7F565F64" w14:textId="77777777" w:rsidR="00F81FA4" w:rsidRPr="00A06A4C" w:rsidRDefault="00E164C3" w:rsidP="00F81FA4">
      <w:pPr>
        <w:jc w:val="both"/>
        <w:rPr>
          <w:rFonts w:eastAsia="TimesNewRomanPSMT"/>
          <w:color w:val="000000"/>
          <w:sz w:val="28"/>
          <w:szCs w:val="28"/>
          <w:lang w:val="kk"/>
        </w:rPr>
      </w:pPr>
      <w:r w:rsidRPr="00A06A4C">
        <w:rPr>
          <w:rFonts w:eastAsia="TimesNewRomanPSMT"/>
          <w:color w:val="000000"/>
          <w:sz w:val="28"/>
          <w:szCs w:val="28"/>
          <w:lang w:val="kk"/>
        </w:rPr>
        <w:t xml:space="preserve">Натрий эноксапарині клиникалық сынақтарда натрий эноксапаринін алған 15 000-нан астам пациентте бағаланды. Оның ішінде 1776 тромбоэмболиялық асқынулар қаупі бар пациенттерде ортопедиялық немесе абдоминальді операциялардан кейін тереңдегі веналар тромбозының профилактикасы үшін, 1169 қозғалуы елеулі шектелген қатты науқас терапиялық пациентте тереңдегі веналар тромбозының профилактикасы үшін, 559 ӨАТЭ бар немесе онсыз тереңдегі веналар тромбозын емдеу үшін, 1578 тұрақсыз стенокардияны және Q тісшесінсіз миокард инфарктін емдеу үшін және 10 176 ST сегментінің жоғарылауымен жедел миокард инфарктін емдеу үшін. </w:t>
      </w:r>
    </w:p>
    <w:p w14:paraId="2F968274" w14:textId="77777777" w:rsidR="00F81FA4" w:rsidRPr="00A06A4C" w:rsidRDefault="00E164C3" w:rsidP="00F81FA4">
      <w:pPr>
        <w:jc w:val="both"/>
        <w:rPr>
          <w:rFonts w:eastAsia="TimesNewRomanPSMT"/>
          <w:color w:val="000000"/>
          <w:sz w:val="28"/>
          <w:szCs w:val="28"/>
          <w:lang w:val="kk"/>
        </w:rPr>
      </w:pPr>
      <w:r w:rsidRPr="00A06A4C">
        <w:rPr>
          <w:rFonts w:eastAsia="TimesNewRomanPSMT"/>
          <w:color w:val="000000"/>
          <w:sz w:val="28"/>
          <w:szCs w:val="28"/>
          <w:lang w:val="kk"/>
        </w:rPr>
        <w:t xml:space="preserve">Бұл клиникалық сынақтардың барысында натрий эноксапаринін енгізу режимі көрсетімдерге байланысты ерекшеленеді. Операциядан кейін немесе қозғалуы елеулі шектелген қатты науқас пациенттерде тереңдегі веналар тромбозының профилактикасы үшін натрий эноксапаринінің дозасы күніне бір рет теріастына 4000 ХБ (40 мг) құрады. Өкпе артериясының тромбоэмболиясы бар немесе онсыз тереңдегі веналар тромбозын емдеу кезінде натрий эноксапаринін алған пациенттер әрбір 12 сағат сайын теріастына 100 ХБ/кг (1 мг/кг)  дозаны, не күніне бір рет теріастына 150 ХБ/кг (1,5 мг/кг) дозаны қабылдады. Клиникалық зерттеулерде тұрақсыз стенокардияны және Q тісшесінсіз миокард инфарктін емдеу үшін дозалар әр 12 сағат сайын теріастына 100 ХБ/кг (1 мг/кг) құрады, ал ST сегментінің жоғарылауымен жедел миокард инфарктін емдеу үшін клиникалық зерттеуде натрий эноксапаринінің </w:t>
      </w:r>
      <w:r w:rsidRPr="00A06A4C">
        <w:rPr>
          <w:rFonts w:eastAsia="TimesNewRomanPSMT"/>
          <w:color w:val="000000"/>
          <w:sz w:val="28"/>
          <w:szCs w:val="28"/>
          <w:lang w:val="kk"/>
        </w:rPr>
        <w:lastRenderedPageBreak/>
        <w:t>схемасы 3000 ХБ (30 мг) венаішілік болюсті, одан кейін әр 12 сағатта теріастына 100 ХБ/кг (1 мг/кг) енгізуді құрады.</w:t>
      </w:r>
    </w:p>
    <w:p w14:paraId="3C17712F" w14:textId="77777777" w:rsidR="00F81FA4" w:rsidRPr="00A06A4C" w:rsidRDefault="00E164C3" w:rsidP="00F81FA4">
      <w:pPr>
        <w:jc w:val="both"/>
        <w:rPr>
          <w:rFonts w:eastAsia="TimesNewRomanPSMT"/>
          <w:color w:val="000000"/>
          <w:sz w:val="28"/>
          <w:szCs w:val="28"/>
          <w:lang w:val="kk"/>
        </w:rPr>
      </w:pPr>
      <w:r w:rsidRPr="00A06A4C">
        <w:rPr>
          <w:rFonts w:eastAsia="TimesNewRomanPSMT"/>
          <w:color w:val="000000"/>
          <w:sz w:val="28"/>
          <w:szCs w:val="28"/>
          <w:lang w:val="kk"/>
        </w:rPr>
        <w:t>Клиникалық зерттеулерде қан кету, тромбоцитопения және тромбоцитоз сияқты реакциялар туралы жиірек хабарланды.</w:t>
      </w:r>
    </w:p>
    <w:p w14:paraId="6A5DF821" w14:textId="77777777" w:rsidR="00F81FA4" w:rsidRPr="00A06A4C" w:rsidRDefault="00E164C3" w:rsidP="00F81FA4">
      <w:pPr>
        <w:jc w:val="both"/>
        <w:rPr>
          <w:rFonts w:eastAsia="TimesNewRomanPSMT"/>
          <w:color w:val="000000"/>
          <w:sz w:val="28"/>
          <w:szCs w:val="28"/>
          <w:lang w:val="kk"/>
        </w:rPr>
      </w:pPr>
      <w:r w:rsidRPr="00A06A4C">
        <w:rPr>
          <w:rFonts w:eastAsia="TimesNewRomanPSMT"/>
          <w:color w:val="000000"/>
          <w:sz w:val="28"/>
          <w:szCs w:val="28"/>
          <w:lang w:val="kk"/>
        </w:rPr>
        <w:t>Белсенді обыры бар пациенттерде тереңдегі веналар тромбозы мен өкпе артериясының тромбоэмболиясын ұзақ уақыт емдеу үшін эноксапариннің қауіпсіздік бейіні оның тереңдегі веналар тромбозы мен өкпе артериясының тромбоэмболиясын емдеуге арналған қауіпсіздік бейініне ұқсас.</w:t>
      </w:r>
    </w:p>
    <w:p w14:paraId="320504F2" w14:textId="77777777" w:rsidR="00F81FA4" w:rsidRPr="00A06A4C" w:rsidRDefault="00E164C3" w:rsidP="00F81FA4">
      <w:pPr>
        <w:jc w:val="both"/>
        <w:rPr>
          <w:rFonts w:eastAsia="TimesNewRomanPSMT"/>
          <w:color w:val="000000"/>
          <w:sz w:val="28"/>
          <w:szCs w:val="28"/>
          <w:lang w:val="kk"/>
        </w:rPr>
      </w:pPr>
      <w:r w:rsidRPr="00A06A4C">
        <w:rPr>
          <w:rFonts w:eastAsia="TimesNewRomanPSMT"/>
          <w:color w:val="000000"/>
          <w:sz w:val="28"/>
          <w:szCs w:val="28"/>
          <w:lang w:val="kk"/>
        </w:rPr>
        <w:t>Жедел жайылған экзантематозды пустулез (AGEP) эноксапаринмен емдеу кезінде тіркелді.</w:t>
      </w:r>
    </w:p>
    <w:p w14:paraId="059B9488" w14:textId="77777777" w:rsidR="00F81FA4" w:rsidRPr="00A06A4C" w:rsidRDefault="00E164C3" w:rsidP="00F81FA4">
      <w:pPr>
        <w:jc w:val="both"/>
        <w:rPr>
          <w:rFonts w:eastAsia="TimesNewRomanPSMT"/>
          <w:i/>
          <w:iCs/>
          <w:color w:val="000000"/>
          <w:sz w:val="28"/>
          <w:szCs w:val="28"/>
          <w:lang w:val="kk"/>
        </w:rPr>
      </w:pPr>
      <w:r w:rsidRPr="00A06A4C">
        <w:rPr>
          <w:rFonts w:eastAsia="TimesNewRomanPSMT"/>
          <w:i/>
          <w:iCs/>
          <w:color w:val="000000"/>
          <w:sz w:val="28"/>
          <w:szCs w:val="28"/>
          <w:lang w:val="kk"/>
        </w:rPr>
        <w:t>Жағымсыз реакциялардың кестелік тізімі</w:t>
      </w:r>
    </w:p>
    <w:p w14:paraId="3C9DC600" w14:textId="77777777" w:rsidR="00F81FA4" w:rsidRPr="00A06A4C" w:rsidRDefault="00E164C3" w:rsidP="00F81FA4">
      <w:pPr>
        <w:jc w:val="both"/>
        <w:rPr>
          <w:rFonts w:eastAsia="TimesNewRomanPSMT"/>
          <w:color w:val="000000"/>
          <w:sz w:val="28"/>
          <w:szCs w:val="28"/>
          <w:lang w:val="kk"/>
        </w:rPr>
      </w:pPr>
      <w:r w:rsidRPr="00A06A4C">
        <w:rPr>
          <w:rFonts w:eastAsia="TimesNewRomanPSMT"/>
          <w:color w:val="000000"/>
          <w:sz w:val="28"/>
          <w:szCs w:val="28"/>
          <w:lang w:val="kk"/>
        </w:rPr>
        <w:t>Жағдайлардың туындау жиілігі: өте жиі (≥1/10), жиі (≥ 1/100 &lt;1/10), жиі емес (≥ 1/1000 &lt;1/100), сирек (≥ 1/10000 &lt;1/1000), өте сирек (&lt;1/10000), белгісіз (жиілігін қолда бар деректерден анықтау мүмкін емес).</w:t>
      </w:r>
    </w:p>
    <w:p w14:paraId="0BC1C85E" w14:textId="77777777" w:rsidR="00F81FA4" w:rsidRPr="00A06A4C" w:rsidRDefault="00E164C3" w:rsidP="00F81FA4">
      <w:pPr>
        <w:jc w:val="both"/>
        <w:rPr>
          <w:rFonts w:eastAsia="TimesNewRomanPSMT"/>
          <w:b/>
          <w:bCs/>
          <w:i/>
          <w:color w:val="000000"/>
          <w:sz w:val="28"/>
          <w:szCs w:val="28"/>
          <w:lang w:val="kk"/>
        </w:rPr>
      </w:pPr>
      <w:r w:rsidRPr="00A06A4C">
        <w:rPr>
          <w:rFonts w:eastAsia="TimesNewRomanPSMT"/>
          <w:b/>
          <w:bCs/>
          <w:i/>
          <w:color w:val="000000"/>
          <w:sz w:val="28"/>
          <w:szCs w:val="28"/>
          <w:lang w:val="kk"/>
        </w:rPr>
        <w:t>Қан және лимфа жүйесі тарапынан бұзылулар</w:t>
      </w:r>
    </w:p>
    <w:p w14:paraId="243073E0" w14:textId="77777777" w:rsidR="00F81FA4" w:rsidRPr="00A06A4C" w:rsidRDefault="00E164C3" w:rsidP="00F81FA4">
      <w:pPr>
        <w:jc w:val="both"/>
        <w:rPr>
          <w:rFonts w:eastAsia="TimesNewRomanPSMT"/>
          <w:bCs/>
          <w:i/>
          <w:color w:val="000000"/>
          <w:sz w:val="28"/>
          <w:szCs w:val="28"/>
        </w:rPr>
      </w:pPr>
      <w:r w:rsidRPr="00A06A4C">
        <w:rPr>
          <w:rFonts w:eastAsia="TimesNewRomanPSMT"/>
          <w:bCs/>
          <w:i/>
          <w:color w:val="000000"/>
          <w:sz w:val="28"/>
          <w:szCs w:val="28"/>
          <w:lang w:val="kk"/>
        </w:rPr>
        <w:t>Жиі</w:t>
      </w:r>
    </w:p>
    <w:p w14:paraId="71DA14EA" w14:textId="77777777" w:rsidR="00F81FA4" w:rsidRPr="00A06A4C" w:rsidRDefault="00E164C3" w:rsidP="00F81FA4">
      <w:pPr>
        <w:jc w:val="both"/>
        <w:rPr>
          <w:rFonts w:eastAsia="TimesNewRomanPSMT"/>
          <w:bCs/>
          <w:color w:val="000000"/>
          <w:sz w:val="28"/>
          <w:szCs w:val="28"/>
        </w:rPr>
      </w:pPr>
      <w:r w:rsidRPr="00A06A4C">
        <w:rPr>
          <w:rFonts w:eastAsia="TimesNewRomanPSMT"/>
          <w:bCs/>
          <w:color w:val="000000"/>
          <w:sz w:val="28"/>
          <w:szCs w:val="28"/>
          <w:lang w:val="kk"/>
        </w:rPr>
        <w:t>- қан кету, геморрагиялық анемия*, тромбоцитопения, тромбоцитоз</w:t>
      </w:r>
    </w:p>
    <w:p w14:paraId="56614C38" w14:textId="77777777" w:rsidR="00F81FA4" w:rsidRPr="00A06A4C" w:rsidRDefault="00E164C3" w:rsidP="00F81FA4">
      <w:pPr>
        <w:jc w:val="both"/>
        <w:rPr>
          <w:rFonts w:eastAsia="TimesNewRomanPSMT"/>
          <w:bCs/>
          <w:i/>
          <w:color w:val="000000"/>
          <w:sz w:val="28"/>
          <w:szCs w:val="28"/>
        </w:rPr>
      </w:pPr>
      <w:r w:rsidRPr="00A06A4C">
        <w:rPr>
          <w:rFonts w:eastAsia="TimesNewRomanPSMT"/>
          <w:bCs/>
          <w:i/>
          <w:color w:val="000000"/>
          <w:sz w:val="28"/>
          <w:szCs w:val="28"/>
          <w:lang w:val="kk"/>
        </w:rPr>
        <w:t>Сирек</w:t>
      </w:r>
    </w:p>
    <w:p w14:paraId="6DB5D9E1" w14:textId="77777777" w:rsidR="00F81FA4" w:rsidRPr="00A06A4C" w:rsidRDefault="00E164C3" w:rsidP="00F81FA4">
      <w:pPr>
        <w:jc w:val="both"/>
        <w:rPr>
          <w:rFonts w:eastAsia="TimesNewRomanPSMT"/>
          <w:bCs/>
          <w:color w:val="000000"/>
          <w:sz w:val="28"/>
          <w:szCs w:val="28"/>
        </w:rPr>
      </w:pPr>
      <w:r w:rsidRPr="00A06A4C">
        <w:rPr>
          <w:rFonts w:eastAsia="TimesNewRomanPSMT"/>
          <w:bCs/>
          <w:color w:val="000000"/>
          <w:sz w:val="28"/>
          <w:szCs w:val="28"/>
          <w:lang w:val="kk"/>
        </w:rPr>
        <w:t>- эозинофилия*, тромбозбен иммуноаллергиялық тромбоцитопения жағдайлары; кейбір жағдайларда тромбоз ішкі ағзалардың инфарктісімен немесе аяқ-қолдың ишемиясымен асқынған.</w:t>
      </w:r>
    </w:p>
    <w:p w14:paraId="74748F43" w14:textId="77777777" w:rsidR="00F81FA4" w:rsidRPr="00A06A4C" w:rsidRDefault="00E164C3" w:rsidP="00F81FA4">
      <w:pPr>
        <w:jc w:val="both"/>
        <w:rPr>
          <w:rFonts w:eastAsia="TimesNewRomanPSMT"/>
          <w:b/>
          <w:bCs/>
          <w:i/>
          <w:color w:val="000000"/>
          <w:sz w:val="28"/>
          <w:szCs w:val="28"/>
          <w:lang w:val="kk-KZ"/>
        </w:rPr>
      </w:pPr>
      <w:r w:rsidRPr="00A06A4C">
        <w:rPr>
          <w:rFonts w:eastAsia="TimesNewRomanPSMT"/>
          <w:b/>
          <w:bCs/>
          <w:i/>
          <w:color w:val="000000"/>
          <w:sz w:val="28"/>
          <w:szCs w:val="28"/>
          <w:lang w:val="kk"/>
        </w:rPr>
        <w:t>Иммундық жүйе тарапынан бұзылулар</w:t>
      </w:r>
    </w:p>
    <w:p w14:paraId="36A8E75D" w14:textId="77777777" w:rsidR="00F81FA4" w:rsidRPr="00A06A4C" w:rsidRDefault="00E164C3" w:rsidP="00F81FA4">
      <w:pPr>
        <w:jc w:val="both"/>
        <w:rPr>
          <w:rFonts w:eastAsia="TimesNewRomanPSMT"/>
          <w:bCs/>
          <w:i/>
          <w:color w:val="000000"/>
          <w:sz w:val="28"/>
          <w:szCs w:val="28"/>
        </w:rPr>
      </w:pPr>
      <w:r w:rsidRPr="00A06A4C">
        <w:rPr>
          <w:rFonts w:eastAsia="TimesNewRomanPSMT"/>
          <w:bCs/>
          <w:i/>
          <w:color w:val="000000"/>
          <w:sz w:val="28"/>
          <w:szCs w:val="28"/>
          <w:lang w:val="kk"/>
        </w:rPr>
        <w:t>Жиі</w:t>
      </w:r>
    </w:p>
    <w:p w14:paraId="08C0B587" w14:textId="77777777" w:rsidR="00F81FA4" w:rsidRPr="00A06A4C" w:rsidRDefault="00E164C3" w:rsidP="00F81FA4">
      <w:pPr>
        <w:jc w:val="both"/>
        <w:rPr>
          <w:rFonts w:eastAsia="TimesNewRomanPSMT"/>
          <w:bCs/>
          <w:color w:val="000000"/>
          <w:sz w:val="28"/>
          <w:szCs w:val="28"/>
        </w:rPr>
      </w:pPr>
      <w:r w:rsidRPr="00A06A4C">
        <w:rPr>
          <w:rFonts w:eastAsia="TimesNewRomanPSMT"/>
          <w:bCs/>
          <w:color w:val="000000"/>
          <w:sz w:val="28"/>
          <w:szCs w:val="28"/>
          <w:lang w:val="kk"/>
        </w:rPr>
        <w:t>- аллергиялық реакция</w:t>
      </w:r>
    </w:p>
    <w:p w14:paraId="6400AE3E" w14:textId="77777777" w:rsidR="00F81FA4" w:rsidRPr="00A06A4C" w:rsidRDefault="00E164C3" w:rsidP="00F81FA4">
      <w:pPr>
        <w:jc w:val="both"/>
        <w:rPr>
          <w:rFonts w:eastAsia="TimesNewRomanPSMT"/>
          <w:bCs/>
          <w:i/>
          <w:color w:val="000000"/>
          <w:sz w:val="28"/>
          <w:szCs w:val="28"/>
        </w:rPr>
      </w:pPr>
      <w:r w:rsidRPr="00A06A4C">
        <w:rPr>
          <w:rFonts w:eastAsia="TimesNewRomanPSMT"/>
          <w:bCs/>
          <w:i/>
          <w:color w:val="000000"/>
          <w:sz w:val="28"/>
          <w:szCs w:val="28"/>
          <w:lang w:val="kk"/>
        </w:rPr>
        <w:t>Сирек</w:t>
      </w:r>
      <w:r w:rsidRPr="00A06A4C">
        <w:rPr>
          <w:rFonts w:eastAsia="TimesNewRomanPSMT"/>
          <w:bCs/>
          <w:i/>
          <w:color w:val="000000"/>
          <w:sz w:val="28"/>
          <w:szCs w:val="28"/>
          <w:lang w:val="kk"/>
        </w:rPr>
        <w:tab/>
      </w:r>
    </w:p>
    <w:p w14:paraId="09297531" w14:textId="77777777" w:rsidR="00F81FA4" w:rsidRPr="00A06A4C" w:rsidRDefault="00E164C3" w:rsidP="00F81FA4">
      <w:pPr>
        <w:jc w:val="both"/>
        <w:rPr>
          <w:rFonts w:eastAsia="TimesNewRomanPSMT"/>
          <w:bCs/>
          <w:color w:val="000000"/>
          <w:sz w:val="28"/>
          <w:szCs w:val="28"/>
        </w:rPr>
      </w:pPr>
      <w:r w:rsidRPr="00A06A4C">
        <w:rPr>
          <w:rFonts w:eastAsia="TimesNewRomanPSMT"/>
          <w:bCs/>
          <w:color w:val="000000"/>
          <w:sz w:val="28"/>
          <w:szCs w:val="28"/>
          <w:lang w:val="kk"/>
        </w:rPr>
        <w:t>- шокты қоса, анафилаксиялық /анафилактоидтық реакциялар*</w:t>
      </w:r>
    </w:p>
    <w:p w14:paraId="16818529" w14:textId="77777777" w:rsidR="00F81FA4" w:rsidRPr="00A06A4C" w:rsidRDefault="00E164C3" w:rsidP="00F81FA4">
      <w:pPr>
        <w:jc w:val="both"/>
        <w:rPr>
          <w:rFonts w:eastAsia="TimesNewRomanPSMT"/>
          <w:b/>
          <w:bCs/>
          <w:i/>
          <w:color w:val="000000"/>
          <w:sz w:val="28"/>
          <w:szCs w:val="28"/>
          <w:lang w:val="kk-KZ"/>
        </w:rPr>
      </w:pPr>
      <w:r w:rsidRPr="00A06A4C">
        <w:rPr>
          <w:rFonts w:eastAsia="TimesNewRomanPSMT"/>
          <w:b/>
          <w:bCs/>
          <w:i/>
          <w:color w:val="000000"/>
          <w:sz w:val="28"/>
          <w:szCs w:val="28"/>
          <w:lang w:val="kk"/>
        </w:rPr>
        <w:t>Жүйке жүйесі тарапынан бұзылулар</w:t>
      </w:r>
    </w:p>
    <w:p w14:paraId="01DE3DC1" w14:textId="77777777" w:rsidR="00F81FA4" w:rsidRPr="00A06A4C" w:rsidRDefault="00E164C3" w:rsidP="00F81FA4">
      <w:pPr>
        <w:jc w:val="both"/>
        <w:rPr>
          <w:rFonts w:eastAsia="TimesNewRomanPSMT"/>
          <w:bCs/>
          <w:i/>
          <w:color w:val="000000"/>
          <w:sz w:val="28"/>
          <w:szCs w:val="28"/>
          <w:lang w:val="kk-KZ"/>
        </w:rPr>
      </w:pPr>
      <w:r w:rsidRPr="00A06A4C">
        <w:rPr>
          <w:rFonts w:eastAsia="TimesNewRomanPSMT"/>
          <w:bCs/>
          <w:i/>
          <w:color w:val="000000"/>
          <w:sz w:val="28"/>
          <w:szCs w:val="28"/>
          <w:lang w:val="kk"/>
        </w:rPr>
        <w:t>Жиі</w:t>
      </w:r>
    </w:p>
    <w:p w14:paraId="45F3D002" w14:textId="77777777" w:rsidR="00F81FA4" w:rsidRPr="00A06A4C" w:rsidRDefault="00E164C3" w:rsidP="00F81FA4">
      <w:pPr>
        <w:jc w:val="both"/>
        <w:rPr>
          <w:rFonts w:eastAsia="TimesNewRomanPSMT"/>
          <w:bCs/>
          <w:color w:val="000000"/>
          <w:sz w:val="28"/>
          <w:szCs w:val="28"/>
          <w:lang w:val="kk-KZ"/>
        </w:rPr>
      </w:pPr>
      <w:r w:rsidRPr="00A06A4C">
        <w:rPr>
          <w:rFonts w:eastAsia="TimesNewRomanPSMT"/>
          <w:bCs/>
          <w:color w:val="000000"/>
          <w:sz w:val="28"/>
          <w:szCs w:val="28"/>
          <w:lang w:val="kk"/>
        </w:rPr>
        <w:t>- бас ауыруы*</w:t>
      </w:r>
    </w:p>
    <w:p w14:paraId="357FADBA" w14:textId="77777777" w:rsidR="00F81FA4" w:rsidRPr="00A06A4C" w:rsidRDefault="00E164C3" w:rsidP="00F81FA4">
      <w:pPr>
        <w:jc w:val="both"/>
        <w:rPr>
          <w:rFonts w:eastAsia="TimesNewRomanPSMT"/>
          <w:b/>
          <w:bCs/>
          <w:i/>
          <w:color w:val="000000"/>
          <w:sz w:val="28"/>
          <w:szCs w:val="28"/>
          <w:lang w:val="kk-KZ"/>
        </w:rPr>
      </w:pPr>
      <w:r w:rsidRPr="00A06A4C">
        <w:rPr>
          <w:rFonts w:eastAsia="TimesNewRomanPSMT"/>
          <w:b/>
          <w:bCs/>
          <w:i/>
          <w:color w:val="000000"/>
          <w:sz w:val="28"/>
          <w:szCs w:val="28"/>
          <w:lang w:val="kk"/>
        </w:rPr>
        <w:t>Қантамырлар тарапынан бұзылулар</w:t>
      </w:r>
    </w:p>
    <w:p w14:paraId="7E38909C" w14:textId="77777777" w:rsidR="00F81FA4" w:rsidRPr="00A06A4C" w:rsidRDefault="00E164C3" w:rsidP="00F81FA4">
      <w:pPr>
        <w:jc w:val="both"/>
        <w:rPr>
          <w:rFonts w:eastAsia="TimesNewRomanPSMT"/>
          <w:bCs/>
          <w:i/>
          <w:color w:val="000000"/>
          <w:sz w:val="28"/>
          <w:szCs w:val="28"/>
          <w:lang w:val="kk-KZ"/>
        </w:rPr>
      </w:pPr>
      <w:r w:rsidRPr="00A06A4C">
        <w:rPr>
          <w:rFonts w:eastAsia="TimesNewRomanPSMT"/>
          <w:bCs/>
          <w:i/>
          <w:color w:val="000000"/>
          <w:sz w:val="28"/>
          <w:szCs w:val="28"/>
          <w:lang w:val="kk"/>
        </w:rPr>
        <w:t>Сирек</w:t>
      </w:r>
    </w:p>
    <w:p w14:paraId="5B109AEB" w14:textId="77777777" w:rsidR="00F81FA4" w:rsidRPr="00A06A4C" w:rsidRDefault="00E164C3" w:rsidP="00F81FA4">
      <w:pPr>
        <w:jc w:val="both"/>
        <w:rPr>
          <w:rFonts w:eastAsia="TimesNewRomanPSMT"/>
          <w:bCs/>
          <w:color w:val="000000"/>
          <w:sz w:val="28"/>
          <w:szCs w:val="28"/>
          <w:lang w:val="kk-KZ"/>
        </w:rPr>
      </w:pPr>
      <w:r w:rsidRPr="00A06A4C">
        <w:rPr>
          <w:rFonts w:eastAsia="TimesNewRomanPSMT"/>
          <w:bCs/>
          <w:color w:val="000000"/>
          <w:sz w:val="28"/>
          <w:szCs w:val="28"/>
          <w:lang w:val="kk"/>
        </w:rPr>
        <w:t>- жұлын гематомасы* (немесе нейроаксиальді гематома), бұл тұрақты немесе қайтымсыз салдануды қоса, ауырлық дәрежесі әртүрлі неврологиялық бұзылулардың дамуына әкелуі мүмкін.</w:t>
      </w:r>
    </w:p>
    <w:p w14:paraId="27141917" w14:textId="77777777" w:rsidR="00F81FA4" w:rsidRPr="00A06A4C" w:rsidRDefault="00E164C3" w:rsidP="00F81FA4">
      <w:pPr>
        <w:jc w:val="both"/>
        <w:rPr>
          <w:rFonts w:eastAsia="TimesNewRomanPSMT"/>
          <w:b/>
          <w:bCs/>
          <w:i/>
          <w:color w:val="000000"/>
          <w:sz w:val="28"/>
          <w:szCs w:val="28"/>
          <w:lang w:val="kk-KZ"/>
        </w:rPr>
      </w:pPr>
      <w:r w:rsidRPr="00A06A4C">
        <w:rPr>
          <w:rFonts w:eastAsia="TimesNewRomanPSMT"/>
          <w:b/>
          <w:bCs/>
          <w:i/>
          <w:color w:val="000000"/>
          <w:sz w:val="28"/>
          <w:szCs w:val="28"/>
          <w:lang w:val="kk"/>
        </w:rPr>
        <w:t>Бауыр және өт шығару жолдары тарапынан бұзылулар</w:t>
      </w:r>
    </w:p>
    <w:p w14:paraId="49135A87" w14:textId="77777777" w:rsidR="00F81FA4" w:rsidRPr="00A06A4C" w:rsidRDefault="00E164C3" w:rsidP="00F81FA4">
      <w:pPr>
        <w:jc w:val="both"/>
        <w:rPr>
          <w:rFonts w:eastAsia="TimesNewRomanPSMT"/>
          <w:bCs/>
          <w:i/>
          <w:color w:val="000000"/>
          <w:sz w:val="28"/>
          <w:szCs w:val="28"/>
          <w:lang w:val="kk-KZ"/>
        </w:rPr>
      </w:pPr>
      <w:r w:rsidRPr="00A06A4C">
        <w:rPr>
          <w:rFonts w:eastAsia="TimesNewRomanPSMT"/>
          <w:bCs/>
          <w:i/>
          <w:color w:val="000000"/>
          <w:sz w:val="28"/>
          <w:szCs w:val="28"/>
          <w:lang w:val="kk"/>
        </w:rPr>
        <w:t>Өте жиі</w:t>
      </w:r>
    </w:p>
    <w:p w14:paraId="0684B85A" w14:textId="77777777" w:rsidR="00F81FA4" w:rsidRPr="00A06A4C" w:rsidRDefault="00E164C3" w:rsidP="00F81FA4">
      <w:pPr>
        <w:jc w:val="both"/>
        <w:rPr>
          <w:rFonts w:eastAsia="TimesNewRomanPSMT"/>
          <w:bCs/>
          <w:color w:val="000000"/>
          <w:sz w:val="28"/>
          <w:szCs w:val="28"/>
          <w:lang w:val="kk-KZ"/>
        </w:rPr>
      </w:pPr>
      <w:r w:rsidRPr="00A06A4C">
        <w:rPr>
          <w:rFonts w:eastAsia="TimesNewRomanPSMT"/>
          <w:bCs/>
          <w:color w:val="000000"/>
          <w:sz w:val="28"/>
          <w:szCs w:val="28"/>
          <w:lang w:val="kk"/>
        </w:rPr>
        <w:t>- бауыр энзимдері мөлшерінің артуы (негізінен, трансаминазалар қалыптың жоғарғы шегінен 3 есе көп)</w:t>
      </w:r>
    </w:p>
    <w:p w14:paraId="2CA0F6DD" w14:textId="77777777" w:rsidR="00F81FA4" w:rsidRPr="00A06A4C" w:rsidRDefault="00E164C3" w:rsidP="00F81FA4">
      <w:pPr>
        <w:jc w:val="both"/>
        <w:rPr>
          <w:rFonts w:eastAsia="TimesNewRomanPSMT"/>
          <w:bCs/>
          <w:i/>
          <w:color w:val="000000"/>
          <w:sz w:val="28"/>
          <w:szCs w:val="28"/>
          <w:lang w:val="kk-KZ"/>
        </w:rPr>
      </w:pPr>
      <w:r w:rsidRPr="00A06A4C">
        <w:rPr>
          <w:rFonts w:eastAsia="TimesNewRomanPSMT"/>
          <w:bCs/>
          <w:i/>
          <w:color w:val="000000"/>
          <w:sz w:val="28"/>
          <w:szCs w:val="28"/>
          <w:lang w:val="kk"/>
        </w:rPr>
        <w:t>Жиі емес</w:t>
      </w:r>
    </w:p>
    <w:p w14:paraId="362B4F88" w14:textId="77777777" w:rsidR="00F81FA4" w:rsidRPr="00A06A4C" w:rsidRDefault="00E164C3" w:rsidP="00F81FA4">
      <w:pPr>
        <w:jc w:val="both"/>
        <w:rPr>
          <w:rFonts w:eastAsia="TimesNewRomanPSMT"/>
          <w:bCs/>
          <w:color w:val="000000"/>
          <w:sz w:val="28"/>
          <w:szCs w:val="28"/>
          <w:lang w:val="kk-KZ"/>
        </w:rPr>
      </w:pPr>
      <w:r w:rsidRPr="00A06A4C">
        <w:rPr>
          <w:rFonts w:eastAsia="TimesNewRomanPSMT"/>
          <w:bCs/>
          <w:color w:val="000000"/>
          <w:sz w:val="28"/>
          <w:szCs w:val="28"/>
          <w:lang w:val="kk"/>
        </w:rPr>
        <w:t xml:space="preserve">- бауырдың </w:t>
      </w:r>
      <w:r w:rsidR="00F64A8D" w:rsidRPr="00A06A4C">
        <w:rPr>
          <w:rFonts w:eastAsia="TimesNewRomanPSMT"/>
          <w:bCs/>
          <w:color w:val="000000"/>
          <w:sz w:val="28"/>
          <w:szCs w:val="28"/>
          <w:lang w:val="kk-KZ"/>
        </w:rPr>
        <w:t>гепатоцеллюлярл</w:t>
      </w:r>
      <w:r w:rsidR="000C21BF" w:rsidRPr="00A06A4C">
        <w:rPr>
          <w:rFonts w:eastAsia="TimesNewRomanPSMT"/>
          <w:bCs/>
          <w:color w:val="000000"/>
          <w:sz w:val="28"/>
          <w:szCs w:val="28"/>
          <w:lang w:val="kk-KZ"/>
        </w:rPr>
        <w:t>ық</w:t>
      </w:r>
      <w:r w:rsidRPr="00A06A4C">
        <w:rPr>
          <w:rFonts w:eastAsia="TimesNewRomanPSMT"/>
          <w:bCs/>
          <w:color w:val="000000"/>
          <w:sz w:val="28"/>
          <w:szCs w:val="28"/>
          <w:lang w:val="kk"/>
        </w:rPr>
        <w:t xml:space="preserve"> зақымдануы*</w:t>
      </w:r>
    </w:p>
    <w:p w14:paraId="3696E6AE" w14:textId="77777777" w:rsidR="00F81FA4" w:rsidRPr="00A06A4C" w:rsidRDefault="00E164C3" w:rsidP="00F81FA4">
      <w:pPr>
        <w:jc w:val="both"/>
        <w:rPr>
          <w:rFonts w:eastAsia="TimesNewRomanPSMT"/>
          <w:bCs/>
          <w:i/>
          <w:color w:val="000000"/>
          <w:sz w:val="28"/>
          <w:szCs w:val="28"/>
          <w:lang w:val="kk-KZ"/>
        </w:rPr>
      </w:pPr>
      <w:r w:rsidRPr="00A06A4C">
        <w:rPr>
          <w:rFonts w:eastAsia="TimesNewRomanPSMT"/>
          <w:bCs/>
          <w:i/>
          <w:color w:val="000000"/>
          <w:sz w:val="28"/>
          <w:szCs w:val="28"/>
          <w:lang w:val="kk"/>
        </w:rPr>
        <w:t>Сирек</w:t>
      </w:r>
    </w:p>
    <w:p w14:paraId="561C659F" w14:textId="77777777" w:rsidR="00F81FA4" w:rsidRPr="00A06A4C" w:rsidRDefault="00E164C3" w:rsidP="00F81FA4">
      <w:pPr>
        <w:jc w:val="both"/>
        <w:rPr>
          <w:rFonts w:eastAsia="TimesNewRomanPSMT"/>
          <w:bCs/>
          <w:color w:val="000000"/>
          <w:sz w:val="28"/>
          <w:szCs w:val="28"/>
          <w:lang w:val="kk-KZ"/>
        </w:rPr>
      </w:pPr>
      <w:r w:rsidRPr="00A06A4C">
        <w:rPr>
          <w:rFonts w:eastAsia="TimesNewRomanPSMT"/>
          <w:bCs/>
          <w:color w:val="000000"/>
          <w:sz w:val="28"/>
          <w:szCs w:val="28"/>
          <w:lang w:val="kk"/>
        </w:rPr>
        <w:t>- бауырдың гепатоцеллюлярлы зақымдануы*</w:t>
      </w:r>
    </w:p>
    <w:p w14:paraId="1A735862" w14:textId="77777777" w:rsidR="00F81FA4" w:rsidRPr="00A06A4C" w:rsidRDefault="00E164C3" w:rsidP="00F81FA4">
      <w:pPr>
        <w:jc w:val="both"/>
        <w:rPr>
          <w:rFonts w:eastAsia="TimesNewRomanPSMT"/>
          <w:b/>
          <w:bCs/>
          <w:i/>
          <w:color w:val="000000"/>
          <w:sz w:val="28"/>
          <w:szCs w:val="28"/>
          <w:lang w:val="kk-KZ"/>
        </w:rPr>
      </w:pPr>
      <w:r w:rsidRPr="00A06A4C">
        <w:rPr>
          <w:rFonts w:eastAsia="TimesNewRomanPSMT"/>
          <w:b/>
          <w:bCs/>
          <w:i/>
          <w:color w:val="000000"/>
          <w:sz w:val="28"/>
          <w:szCs w:val="28"/>
          <w:lang w:val="kk"/>
        </w:rPr>
        <w:t>Тері және тері асты тіндері тарапынан бұзылулар</w:t>
      </w:r>
    </w:p>
    <w:p w14:paraId="5612765A" w14:textId="77777777" w:rsidR="00F81FA4" w:rsidRPr="00A06A4C" w:rsidRDefault="00E164C3" w:rsidP="00F81FA4">
      <w:pPr>
        <w:jc w:val="both"/>
        <w:rPr>
          <w:rFonts w:eastAsia="TimesNewRomanPSMT"/>
          <w:bCs/>
          <w:i/>
          <w:color w:val="000000"/>
          <w:sz w:val="28"/>
          <w:szCs w:val="28"/>
        </w:rPr>
      </w:pPr>
      <w:r w:rsidRPr="00A06A4C">
        <w:rPr>
          <w:rFonts w:eastAsia="TimesNewRomanPSMT"/>
          <w:bCs/>
          <w:i/>
          <w:color w:val="000000"/>
          <w:sz w:val="28"/>
          <w:szCs w:val="28"/>
          <w:lang w:val="kk"/>
        </w:rPr>
        <w:lastRenderedPageBreak/>
        <w:t>Жиі</w:t>
      </w:r>
    </w:p>
    <w:p w14:paraId="1D5330DE" w14:textId="77777777" w:rsidR="00F81FA4" w:rsidRPr="00A06A4C" w:rsidRDefault="00E164C3" w:rsidP="00F81FA4">
      <w:pPr>
        <w:jc w:val="both"/>
        <w:rPr>
          <w:rFonts w:eastAsia="TimesNewRomanPSMT"/>
          <w:bCs/>
          <w:color w:val="000000"/>
          <w:sz w:val="28"/>
          <w:szCs w:val="28"/>
        </w:rPr>
      </w:pPr>
      <w:r w:rsidRPr="00A06A4C">
        <w:rPr>
          <w:rFonts w:eastAsia="TimesNewRomanPSMT"/>
          <w:bCs/>
          <w:color w:val="000000"/>
          <w:sz w:val="28"/>
          <w:szCs w:val="28"/>
          <w:lang w:val="kk"/>
        </w:rPr>
        <w:t>- есекжем, қышыну, эритема</w:t>
      </w:r>
    </w:p>
    <w:p w14:paraId="1B8663C8" w14:textId="77777777" w:rsidR="00F81FA4" w:rsidRPr="00A06A4C" w:rsidRDefault="00E164C3" w:rsidP="00F81FA4">
      <w:pPr>
        <w:jc w:val="both"/>
        <w:rPr>
          <w:rFonts w:eastAsia="TimesNewRomanPSMT"/>
          <w:bCs/>
          <w:i/>
          <w:color w:val="000000"/>
          <w:sz w:val="28"/>
          <w:szCs w:val="28"/>
        </w:rPr>
      </w:pPr>
      <w:r w:rsidRPr="00A06A4C">
        <w:rPr>
          <w:rFonts w:eastAsia="TimesNewRomanPSMT"/>
          <w:bCs/>
          <w:i/>
          <w:color w:val="000000"/>
          <w:sz w:val="28"/>
          <w:szCs w:val="28"/>
          <w:lang w:val="kk"/>
        </w:rPr>
        <w:t>Жиі емес</w:t>
      </w:r>
      <w:r w:rsidRPr="00A06A4C">
        <w:rPr>
          <w:rFonts w:eastAsia="TimesNewRomanPSMT"/>
          <w:bCs/>
          <w:i/>
          <w:color w:val="000000"/>
          <w:sz w:val="28"/>
          <w:szCs w:val="28"/>
          <w:lang w:val="kk"/>
        </w:rPr>
        <w:tab/>
      </w:r>
    </w:p>
    <w:p w14:paraId="0DAEACCD" w14:textId="77777777" w:rsidR="00F81FA4" w:rsidRPr="00A06A4C" w:rsidRDefault="00E164C3" w:rsidP="00F81FA4">
      <w:pPr>
        <w:jc w:val="both"/>
        <w:rPr>
          <w:rFonts w:eastAsia="TimesNewRomanPSMT"/>
          <w:bCs/>
          <w:color w:val="000000"/>
          <w:sz w:val="28"/>
          <w:szCs w:val="28"/>
        </w:rPr>
      </w:pPr>
      <w:r w:rsidRPr="00A06A4C">
        <w:rPr>
          <w:rFonts w:eastAsia="TimesNewRomanPSMT"/>
          <w:bCs/>
          <w:color w:val="000000"/>
          <w:sz w:val="28"/>
          <w:szCs w:val="28"/>
          <w:lang w:val="kk"/>
        </w:rPr>
        <w:t xml:space="preserve">- буллезді дерматит  </w:t>
      </w:r>
    </w:p>
    <w:p w14:paraId="0127F058" w14:textId="77777777" w:rsidR="00F81FA4" w:rsidRPr="00A06A4C" w:rsidRDefault="00E164C3" w:rsidP="00F81FA4">
      <w:pPr>
        <w:jc w:val="both"/>
        <w:rPr>
          <w:rFonts w:eastAsia="TimesNewRomanPSMT"/>
          <w:bCs/>
          <w:i/>
          <w:color w:val="000000"/>
          <w:sz w:val="28"/>
          <w:szCs w:val="28"/>
        </w:rPr>
      </w:pPr>
      <w:r w:rsidRPr="00A06A4C">
        <w:rPr>
          <w:rFonts w:eastAsia="TimesNewRomanPSMT"/>
          <w:bCs/>
          <w:i/>
          <w:color w:val="000000"/>
          <w:sz w:val="28"/>
          <w:szCs w:val="28"/>
          <w:lang w:val="kk"/>
        </w:rPr>
        <w:t>Сирек</w:t>
      </w:r>
    </w:p>
    <w:p w14:paraId="743C1876" w14:textId="77777777" w:rsidR="00F81FA4" w:rsidRPr="00A06A4C" w:rsidRDefault="00E164C3" w:rsidP="00F81FA4">
      <w:pPr>
        <w:jc w:val="both"/>
        <w:rPr>
          <w:rFonts w:eastAsia="TimesNewRomanPSMT"/>
          <w:bCs/>
          <w:color w:val="000000"/>
          <w:sz w:val="28"/>
          <w:szCs w:val="28"/>
        </w:rPr>
      </w:pPr>
      <w:r w:rsidRPr="00A06A4C">
        <w:rPr>
          <w:rFonts w:eastAsia="TimesNewRomanPSMT"/>
          <w:bCs/>
          <w:color w:val="000000"/>
          <w:sz w:val="28"/>
          <w:szCs w:val="28"/>
          <w:lang w:val="kk"/>
        </w:rPr>
        <w:t xml:space="preserve">- алопеция*, тері васкулиті*, тері некрозы*, әдетте инъекция орнында пайда болады (бұл құбылыстардың алдында әдетте пурпура немесе инфильтрацияланған және ауыртатын эритематозды түйіндақтар болады), препараттың инъекция орнындағы түйіндер* (эноксапариннің киста тәрізді капсуляциясы болып табылмайтын қабынбалы түйіндер), олар бірнеше күннен кейін жоғалады және препаратты тоқтатуға негіз болып табылмайды </w:t>
      </w:r>
    </w:p>
    <w:p w14:paraId="4083656C" w14:textId="77777777" w:rsidR="000F1804" w:rsidRPr="00A06A4C" w:rsidRDefault="00E164C3" w:rsidP="000F1804">
      <w:pPr>
        <w:jc w:val="both"/>
        <w:rPr>
          <w:rFonts w:eastAsia="TimesNewRomanPSMT"/>
          <w:bCs/>
          <w:i/>
          <w:iCs/>
          <w:color w:val="000000"/>
          <w:sz w:val="28"/>
          <w:szCs w:val="28"/>
        </w:rPr>
      </w:pPr>
      <w:r w:rsidRPr="00A06A4C">
        <w:rPr>
          <w:rFonts w:eastAsia="TimesNewRomanPSMT"/>
          <w:bCs/>
          <w:i/>
          <w:iCs/>
          <w:color w:val="000000"/>
          <w:sz w:val="28"/>
          <w:szCs w:val="28"/>
          <w:lang w:val="kk"/>
        </w:rPr>
        <w:t>Белгісіз</w:t>
      </w:r>
    </w:p>
    <w:p w14:paraId="0BD6BDAC" w14:textId="77777777" w:rsidR="000F1804" w:rsidRPr="00A06A4C" w:rsidRDefault="00E164C3" w:rsidP="00F81FA4">
      <w:pPr>
        <w:jc w:val="both"/>
        <w:rPr>
          <w:rFonts w:eastAsia="TimesNewRomanPSMT"/>
          <w:bCs/>
          <w:color w:val="000000"/>
          <w:sz w:val="28"/>
          <w:szCs w:val="28"/>
        </w:rPr>
      </w:pPr>
      <w:r w:rsidRPr="00A06A4C">
        <w:rPr>
          <w:rFonts w:eastAsia="TimesNewRomanPSMT"/>
          <w:bCs/>
          <w:color w:val="000000"/>
          <w:sz w:val="28"/>
          <w:szCs w:val="28"/>
          <w:lang w:val="kk"/>
        </w:rPr>
        <w:t>- жедел жайылған экзантематозды пустулез (AGEP)</w:t>
      </w:r>
    </w:p>
    <w:p w14:paraId="4837365E" w14:textId="77777777" w:rsidR="00F81FA4" w:rsidRPr="00A06A4C" w:rsidRDefault="00E164C3" w:rsidP="00F81FA4">
      <w:pPr>
        <w:jc w:val="both"/>
        <w:rPr>
          <w:rFonts w:eastAsia="TimesNewRomanPSMT"/>
          <w:bCs/>
          <w:i/>
          <w:color w:val="000000"/>
          <w:sz w:val="28"/>
          <w:szCs w:val="28"/>
        </w:rPr>
      </w:pPr>
      <w:r w:rsidRPr="00A06A4C">
        <w:rPr>
          <w:rFonts w:eastAsia="TimesNewRomanPSMT"/>
          <w:b/>
          <w:bCs/>
          <w:i/>
          <w:color w:val="000000"/>
          <w:sz w:val="28"/>
          <w:szCs w:val="28"/>
          <w:lang w:val="kk"/>
        </w:rPr>
        <w:t>Қаңқа бұлшықет және дәнекер тін тарапынан бұзылулар</w:t>
      </w:r>
    </w:p>
    <w:p w14:paraId="092D878C" w14:textId="77777777" w:rsidR="00F81FA4" w:rsidRPr="00A06A4C" w:rsidRDefault="00E164C3" w:rsidP="00F81FA4">
      <w:pPr>
        <w:jc w:val="both"/>
        <w:rPr>
          <w:rFonts w:eastAsia="TimesNewRomanPSMT"/>
          <w:bCs/>
          <w:i/>
          <w:color w:val="000000"/>
          <w:sz w:val="28"/>
          <w:szCs w:val="28"/>
        </w:rPr>
      </w:pPr>
      <w:r w:rsidRPr="00A06A4C">
        <w:rPr>
          <w:rFonts w:eastAsia="TimesNewRomanPSMT"/>
          <w:bCs/>
          <w:i/>
          <w:color w:val="000000"/>
          <w:sz w:val="28"/>
          <w:szCs w:val="28"/>
          <w:lang w:val="kk"/>
        </w:rPr>
        <w:t>Сирек</w:t>
      </w:r>
    </w:p>
    <w:p w14:paraId="32B5BFB5" w14:textId="77777777" w:rsidR="00F81FA4" w:rsidRPr="00A06A4C" w:rsidRDefault="00E164C3" w:rsidP="00F81FA4">
      <w:pPr>
        <w:jc w:val="both"/>
        <w:rPr>
          <w:rFonts w:eastAsia="TimesNewRomanPSMT"/>
          <w:bCs/>
          <w:color w:val="000000"/>
          <w:sz w:val="28"/>
          <w:szCs w:val="28"/>
        </w:rPr>
      </w:pPr>
      <w:r w:rsidRPr="00A06A4C">
        <w:rPr>
          <w:rFonts w:eastAsia="TimesNewRomanPSMT"/>
          <w:bCs/>
          <w:color w:val="000000"/>
          <w:sz w:val="28"/>
          <w:szCs w:val="28"/>
          <w:lang w:val="kk"/>
        </w:rPr>
        <w:t>- ұзақ емнен кейінгі (3 айдан астам) остеопороз*</w:t>
      </w:r>
    </w:p>
    <w:p w14:paraId="01883EED" w14:textId="77777777" w:rsidR="00F81FA4" w:rsidRPr="00A06A4C" w:rsidRDefault="00E164C3" w:rsidP="00F81FA4">
      <w:pPr>
        <w:jc w:val="both"/>
        <w:rPr>
          <w:rFonts w:eastAsia="TimesNewRomanPSMT"/>
          <w:b/>
          <w:bCs/>
          <w:i/>
          <w:color w:val="000000"/>
          <w:sz w:val="28"/>
          <w:szCs w:val="28"/>
        </w:rPr>
      </w:pPr>
      <w:r w:rsidRPr="00A06A4C">
        <w:rPr>
          <w:rFonts w:eastAsia="TimesNewRomanPSMT"/>
          <w:b/>
          <w:bCs/>
          <w:i/>
          <w:color w:val="000000"/>
          <w:sz w:val="28"/>
          <w:szCs w:val="28"/>
          <w:lang w:val="kk"/>
        </w:rPr>
        <w:t>Жалпы бұзылулар және енгізген жердегі  реакциялар</w:t>
      </w:r>
    </w:p>
    <w:p w14:paraId="62E2B81A" w14:textId="77777777" w:rsidR="00F81FA4" w:rsidRPr="00A06A4C" w:rsidRDefault="00E164C3" w:rsidP="00F81FA4">
      <w:pPr>
        <w:jc w:val="both"/>
        <w:rPr>
          <w:rFonts w:eastAsia="TimesNewRomanPSMT"/>
          <w:bCs/>
          <w:i/>
          <w:color w:val="000000"/>
          <w:sz w:val="28"/>
          <w:szCs w:val="28"/>
        </w:rPr>
      </w:pPr>
      <w:r w:rsidRPr="00A06A4C">
        <w:rPr>
          <w:rFonts w:eastAsia="TimesNewRomanPSMT"/>
          <w:bCs/>
          <w:i/>
          <w:color w:val="000000"/>
          <w:sz w:val="28"/>
          <w:szCs w:val="28"/>
          <w:lang w:val="kk"/>
        </w:rPr>
        <w:t>Жиі</w:t>
      </w:r>
    </w:p>
    <w:p w14:paraId="2EBDAB84" w14:textId="77777777" w:rsidR="00F81FA4" w:rsidRPr="00A06A4C" w:rsidRDefault="00E164C3" w:rsidP="00F81FA4">
      <w:pPr>
        <w:jc w:val="both"/>
        <w:rPr>
          <w:rFonts w:eastAsia="TimesNewRomanPSMT"/>
          <w:color w:val="000000"/>
          <w:sz w:val="28"/>
          <w:szCs w:val="28"/>
        </w:rPr>
      </w:pPr>
      <w:r w:rsidRPr="00A06A4C">
        <w:rPr>
          <w:rFonts w:eastAsia="TimesNewRomanPSMT"/>
          <w:bCs/>
          <w:color w:val="000000"/>
          <w:sz w:val="28"/>
          <w:szCs w:val="28"/>
          <w:lang w:val="kk"/>
        </w:rPr>
        <w:t>- инъекция орнындағы гематомалар, инъекция орнының ауыруы, инъекция орнындағы басқа да реакция (ісіну, қан кету, жоғары сезімталдық, қабыну, түзілімдер, инъекция орнындағы ауыру немесе реакция)</w:t>
      </w:r>
    </w:p>
    <w:p w14:paraId="3D69C5BD" w14:textId="77777777" w:rsidR="00F81FA4" w:rsidRPr="00A06A4C" w:rsidRDefault="00E164C3" w:rsidP="00F81FA4">
      <w:pPr>
        <w:jc w:val="both"/>
        <w:rPr>
          <w:rFonts w:eastAsia="TimesNewRomanPSMT"/>
          <w:bCs/>
          <w:i/>
          <w:color w:val="000000"/>
          <w:sz w:val="28"/>
          <w:szCs w:val="28"/>
        </w:rPr>
      </w:pPr>
      <w:r w:rsidRPr="00A06A4C">
        <w:rPr>
          <w:rFonts w:eastAsia="TimesNewRomanPSMT"/>
          <w:bCs/>
          <w:i/>
          <w:color w:val="000000"/>
          <w:sz w:val="28"/>
          <w:szCs w:val="28"/>
          <w:lang w:val="kk"/>
        </w:rPr>
        <w:t>Жиі емес</w:t>
      </w:r>
      <w:r w:rsidRPr="00A06A4C">
        <w:rPr>
          <w:rFonts w:eastAsia="TimesNewRomanPSMT"/>
          <w:bCs/>
          <w:i/>
          <w:color w:val="000000"/>
          <w:sz w:val="28"/>
          <w:szCs w:val="28"/>
          <w:lang w:val="kk"/>
        </w:rPr>
        <w:tab/>
      </w:r>
      <w:r w:rsidRPr="00A06A4C">
        <w:rPr>
          <w:rFonts w:eastAsia="TimesNewRomanPSMT"/>
          <w:bCs/>
          <w:i/>
          <w:color w:val="000000"/>
          <w:sz w:val="28"/>
          <w:szCs w:val="28"/>
          <w:lang w:val="kk"/>
        </w:rPr>
        <w:tab/>
      </w:r>
    </w:p>
    <w:p w14:paraId="1DD3B4E3" w14:textId="77777777" w:rsidR="00F81FA4" w:rsidRPr="00A06A4C" w:rsidRDefault="00E164C3" w:rsidP="00F81FA4">
      <w:pPr>
        <w:jc w:val="both"/>
        <w:rPr>
          <w:rFonts w:eastAsia="TimesNewRomanPSMT"/>
          <w:bCs/>
          <w:i/>
          <w:color w:val="000000"/>
          <w:sz w:val="28"/>
          <w:szCs w:val="28"/>
        </w:rPr>
      </w:pPr>
      <w:r w:rsidRPr="00A06A4C">
        <w:rPr>
          <w:rFonts w:eastAsia="TimesNewRomanPSMT"/>
          <w:bCs/>
          <w:color w:val="000000"/>
          <w:sz w:val="28"/>
          <w:szCs w:val="28"/>
          <w:lang w:val="kk"/>
        </w:rPr>
        <w:t>- жергілікті тітіркену, инъекция орнындағы тері некрозы</w:t>
      </w:r>
    </w:p>
    <w:p w14:paraId="5DCF180B" w14:textId="77777777" w:rsidR="00F81FA4" w:rsidRPr="00A06A4C" w:rsidRDefault="00E164C3" w:rsidP="00F81FA4">
      <w:pPr>
        <w:jc w:val="both"/>
        <w:rPr>
          <w:rFonts w:eastAsia="TimesNewRomanPSMT"/>
          <w:b/>
          <w:bCs/>
          <w:i/>
          <w:color w:val="000000"/>
          <w:sz w:val="28"/>
          <w:szCs w:val="28"/>
        </w:rPr>
      </w:pPr>
      <w:r w:rsidRPr="00A06A4C">
        <w:rPr>
          <w:rFonts w:eastAsia="TimesNewRomanPSMT"/>
          <w:b/>
          <w:bCs/>
          <w:i/>
          <w:color w:val="000000"/>
          <w:sz w:val="28"/>
          <w:szCs w:val="28"/>
          <w:lang w:val="kk"/>
        </w:rPr>
        <w:t>Зертханалық деректер</w:t>
      </w:r>
    </w:p>
    <w:p w14:paraId="6CDA44F2" w14:textId="77777777" w:rsidR="00F81FA4" w:rsidRPr="00A06A4C" w:rsidRDefault="00E164C3" w:rsidP="00F81FA4">
      <w:pPr>
        <w:jc w:val="both"/>
        <w:rPr>
          <w:rFonts w:eastAsia="TimesNewRomanPSMT"/>
          <w:bCs/>
          <w:i/>
          <w:color w:val="000000"/>
          <w:sz w:val="28"/>
          <w:szCs w:val="28"/>
        </w:rPr>
      </w:pPr>
      <w:r w:rsidRPr="00A06A4C">
        <w:rPr>
          <w:rFonts w:eastAsia="TimesNewRomanPSMT"/>
          <w:bCs/>
          <w:i/>
          <w:color w:val="000000"/>
          <w:sz w:val="28"/>
          <w:szCs w:val="28"/>
          <w:lang w:val="kk"/>
        </w:rPr>
        <w:t>Сирек</w:t>
      </w:r>
    </w:p>
    <w:p w14:paraId="0C93E7C9" w14:textId="77777777" w:rsidR="00F81FA4" w:rsidRPr="00A06A4C" w:rsidRDefault="00E164C3" w:rsidP="00F81FA4">
      <w:pPr>
        <w:jc w:val="both"/>
        <w:rPr>
          <w:rFonts w:eastAsia="TimesNewRomanPSMT"/>
          <w:bCs/>
          <w:color w:val="000000"/>
          <w:sz w:val="28"/>
          <w:szCs w:val="28"/>
        </w:rPr>
      </w:pPr>
      <w:r w:rsidRPr="00A06A4C">
        <w:rPr>
          <w:rFonts w:eastAsia="TimesNewRomanPSMT"/>
          <w:bCs/>
          <w:color w:val="000000"/>
          <w:sz w:val="28"/>
          <w:szCs w:val="28"/>
          <w:lang w:val="kk"/>
        </w:rPr>
        <w:t>- гиперкалиемия*</w:t>
      </w:r>
    </w:p>
    <w:p w14:paraId="212FC4D7" w14:textId="77777777" w:rsidR="00F81FA4" w:rsidRPr="00A06A4C" w:rsidRDefault="00E164C3" w:rsidP="00F81FA4">
      <w:pPr>
        <w:jc w:val="both"/>
        <w:rPr>
          <w:rFonts w:eastAsia="TimesNewRomanPSMT"/>
          <w:b/>
          <w:bCs/>
          <w:i/>
          <w:color w:val="000000"/>
          <w:sz w:val="28"/>
          <w:szCs w:val="28"/>
        </w:rPr>
      </w:pPr>
      <w:r w:rsidRPr="00A06A4C">
        <w:rPr>
          <w:rFonts w:eastAsia="TimesNewRomanPSMT"/>
          <w:b/>
          <w:bCs/>
          <w:i/>
          <w:color w:val="000000"/>
          <w:sz w:val="28"/>
          <w:szCs w:val="28"/>
          <w:lang w:val="kk"/>
        </w:rPr>
        <w:t>Кейбір жағымсыз реакциялардың сипаттамасы</w:t>
      </w:r>
    </w:p>
    <w:p w14:paraId="409F3623" w14:textId="77777777" w:rsidR="00F81FA4" w:rsidRPr="00A06A4C" w:rsidRDefault="00E164C3" w:rsidP="00F81FA4">
      <w:pPr>
        <w:jc w:val="both"/>
        <w:rPr>
          <w:rFonts w:eastAsia="TimesNewRomanPSMT"/>
          <w:b/>
          <w:bCs/>
          <w:i/>
          <w:color w:val="000000"/>
          <w:sz w:val="28"/>
          <w:szCs w:val="28"/>
        </w:rPr>
      </w:pPr>
      <w:r w:rsidRPr="00A06A4C">
        <w:rPr>
          <w:rFonts w:eastAsia="TimesNewRomanPSMT"/>
          <w:b/>
          <w:bCs/>
          <w:i/>
          <w:color w:val="000000"/>
          <w:sz w:val="28"/>
          <w:szCs w:val="28"/>
          <w:lang w:val="kk"/>
        </w:rPr>
        <w:t>Қан кету</w:t>
      </w:r>
    </w:p>
    <w:p w14:paraId="36ECA1E0" w14:textId="77777777" w:rsidR="00F81FA4" w:rsidRPr="00A06A4C" w:rsidRDefault="00E164C3" w:rsidP="00F81FA4">
      <w:pPr>
        <w:jc w:val="both"/>
        <w:rPr>
          <w:rFonts w:eastAsia="TimesNewRomanPSMT"/>
          <w:bCs/>
          <w:color w:val="000000"/>
          <w:sz w:val="28"/>
          <w:szCs w:val="28"/>
          <w:lang w:val="kk"/>
        </w:rPr>
      </w:pPr>
      <w:r w:rsidRPr="00A06A4C">
        <w:rPr>
          <w:rFonts w:eastAsia="TimesNewRomanPSMT"/>
          <w:bCs/>
          <w:color w:val="000000"/>
          <w:sz w:val="28"/>
          <w:szCs w:val="28"/>
          <w:lang w:val="kk"/>
        </w:rPr>
        <w:t>Анағұрлым жиі кездескен жағымсыз құбылыстар қан кетулер болды. Оларға 4,2% пациентте (хирургиялық  пациенттерде) байқалған  ауқымды қан кетулер жатады. Бұл жағдайлардың кейбіреулері өлімге соқтырған. Хирургиялық пациенттерде қан кетулер ауқымды деп саналды:</w:t>
      </w:r>
    </w:p>
    <w:p w14:paraId="2F0ADAF4" w14:textId="77777777" w:rsidR="00F81FA4" w:rsidRPr="00A06A4C" w:rsidRDefault="00E164C3" w:rsidP="00F81FA4">
      <w:pPr>
        <w:jc w:val="both"/>
        <w:rPr>
          <w:rFonts w:eastAsia="TimesNewRomanPSMT"/>
          <w:bCs/>
          <w:color w:val="000000"/>
          <w:sz w:val="28"/>
          <w:szCs w:val="28"/>
          <w:lang w:val="kk"/>
        </w:rPr>
      </w:pPr>
      <w:r w:rsidRPr="00A06A4C">
        <w:rPr>
          <w:rFonts w:eastAsia="TimesNewRomanPSMT"/>
          <w:bCs/>
          <w:color w:val="000000"/>
          <w:sz w:val="28"/>
          <w:szCs w:val="28"/>
          <w:lang w:val="kk"/>
        </w:rPr>
        <w:t xml:space="preserve">- егер қан кетуден елеулі клиникалық оқиға туындаса </w:t>
      </w:r>
    </w:p>
    <w:p w14:paraId="4E7E8E8B" w14:textId="77777777" w:rsidR="00F81FA4" w:rsidRPr="00A06A4C" w:rsidRDefault="00E164C3" w:rsidP="00F81FA4">
      <w:pPr>
        <w:jc w:val="both"/>
        <w:rPr>
          <w:rFonts w:eastAsia="TimesNewRomanPSMT"/>
          <w:bCs/>
          <w:color w:val="000000"/>
          <w:sz w:val="28"/>
          <w:szCs w:val="28"/>
          <w:lang w:val="kk"/>
        </w:rPr>
      </w:pPr>
      <w:r w:rsidRPr="00A06A4C">
        <w:rPr>
          <w:rFonts w:eastAsia="TimesNewRomanPSMT"/>
          <w:bCs/>
          <w:color w:val="000000"/>
          <w:sz w:val="28"/>
          <w:szCs w:val="28"/>
          <w:lang w:val="kk"/>
        </w:rPr>
        <w:t>- гемоглобин деңгейінің ≥ 2 г/дл деңгейге дейін төмендеуінде немесе 2 литр немесе одан көп қан құюда</w:t>
      </w:r>
    </w:p>
    <w:p w14:paraId="682F4468" w14:textId="77777777" w:rsidR="00F81FA4" w:rsidRPr="00A06A4C" w:rsidRDefault="00E164C3" w:rsidP="00F81FA4">
      <w:pPr>
        <w:jc w:val="both"/>
        <w:rPr>
          <w:rFonts w:eastAsia="TimesNewRomanPSMT"/>
          <w:bCs/>
          <w:color w:val="000000"/>
          <w:sz w:val="28"/>
          <w:szCs w:val="28"/>
          <w:lang w:val="kk"/>
        </w:rPr>
      </w:pPr>
      <w:r w:rsidRPr="00A06A4C">
        <w:rPr>
          <w:rFonts w:eastAsia="TimesNewRomanPSMT"/>
          <w:bCs/>
          <w:color w:val="000000"/>
          <w:sz w:val="28"/>
          <w:szCs w:val="28"/>
          <w:lang w:val="kk"/>
        </w:rPr>
        <w:t>- ішпердеартылық немесе бассүйекішілік қан кетуде.</w:t>
      </w:r>
    </w:p>
    <w:p w14:paraId="786048C8" w14:textId="77777777" w:rsidR="00F81FA4" w:rsidRPr="00A06A4C" w:rsidRDefault="00E164C3" w:rsidP="00F81FA4">
      <w:pPr>
        <w:jc w:val="both"/>
        <w:rPr>
          <w:rFonts w:eastAsia="TimesNewRomanPSMT"/>
          <w:bCs/>
          <w:color w:val="000000"/>
          <w:sz w:val="28"/>
          <w:szCs w:val="28"/>
          <w:lang w:val="kk"/>
        </w:rPr>
      </w:pPr>
      <w:r w:rsidRPr="00A06A4C">
        <w:rPr>
          <w:rFonts w:eastAsia="TimesNewRomanPSMT"/>
          <w:bCs/>
          <w:color w:val="000000"/>
          <w:sz w:val="28"/>
          <w:szCs w:val="28"/>
          <w:lang w:val="kk"/>
        </w:rPr>
        <w:t>Басқа антикоагулянттар жағдайындағы сияқты, қан кету солармен байланысты келесі қауіп факторлары болған жағдайда туындауы мүмкін:</w:t>
      </w:r>
    </w:p>
    <w:p w14:paraId="20D51C4A" w14:textId="77777777" w:rsidR="00F81FA4" w:rsidRPr="00A06A4C" w:rsidRDefault="00E164C3" w:rsidP="00F81FA4">
      <w:pPr>
        <w:jc w:val="both"/>
        <w:rPr>
          <w:rFonts w:eastAsia="TimesNewRomanPSMT"/>
          <w:bCs/>
          <w:color w:val="000000"/>
          <w:sz w:val="28"/>
          <w:szCs w:val="28"/>
          <w:lang w:val="kk"/>
        </w:rPr>
      </w:pPr>
      <w:r w:rsidRPr="00A06A4C">
        <w:rPr>
          <w:rFonts w:eastAsia="TimesNewRomanPSMT"/>
          <w:bCs/>
          <w:color w:val="000000"/>
          <w:sz w:val="28"/>
          <w:szCs w:val="28"/>
          <w:lang w:val="kk"/>
        </w:rPr>
        <w:t xml:space="preserve">- қанағыштыққа бейім органикалық зақымданулар  </w:t>
      </w:r>
    </w:p>
    <w:p w14:paraId="2AAB11A2" w14:textId="77777777" w:rsidR="00F81FA4" w:rsidRPr="00A06A4C" w:rsidRDefault="00E164C3" w:rsidP="00F81FA4">
      <w:pPr>
        <w:jc w:val="both"/>
        <w:rPr>
          <w:rFonts w:eastAsia="TimesNewRomanPSMT"/>
          <w:bCs/>
          <w:color w:val="000000"/>
          <w:sz w:val="28"/>
          <w:szCs w:val="28"/>
          <w:lang w:val="kk"/>
        </w:rPr>
      </w:pPr>
      <w:r w:rsidRPr="00A06A4C">
        <w:rPr>
          <w:rFonts w:eastAsia="TimesNewRomanPSMT"/>
          <w:bCs/>
          <w:color w:val="000000"/>
          <w:sz w:val="28"/>
          <w:szCs w:val="28"/>
          <w:lang w:val="kk"/>
        </w:rPr>
        <w:t>- инвазивтік емшаралар немесе гемостазға әсер ететін дәрілерді қатарлас қолдану.</w:t>
      </w:r>
    </w:p>
    <w:tbl>
      <w:tblPr>
        <w:tblStyle w:val="af"/>
        <w:tblW w:w="0" w:type="auto"/>
        <w:tblLook w:val="04A0" w:firstRow="1" w:lastRow="0" w:firstColumn="1" w:lastColumn="0" w:noHBand="0" w:noVBand="1"/>
      </w:tblPr>
      <w:tblGrid>
        <w:gridCol w:w="826"/>
        <w:gridCol w:w="1441"/>
        <w:gridCol w:w="1206"/>
        <w:gridCol w:w="1640"/>
        <w:gridCol w:w="1479"/>
        <w:gridCol w:w="1441"/>
        <w:gridCol w:w="1254"/>
      </w:tblGrid>
      <w:tr w:rsidR="009F656B" w:rsidRPr="00A06A4C" w14:paraId="0EEF79AB" w14:textId="77777777" w:rsidTr="00425BD0">
        <w:tc>
          <w:tcPr>
            <w:tcW w:w="1326" w:type="dxa"/>
          </w:tcPr>
          <w:p w14:paraId="7FD04A04" w14:textId="77777777" w:rsidR="00F81FA4" w:rsidRPr="00A06A4C" w:rsidRDefault="00E164C3" w:rsidP="00F81FA4">
            <w:pPr>
              <w:spacing w:after="0" w:line="240" w:lineRule="auto"/>
              <w:jc w:val="both"/>
              <w:rPr>
                <w:rFonts w:ascii="Times New Roman" w:eastAsia="TimesNewRomanPSMT" w:hAnsi="Times New Roman"/>
                <w:b/>
                <w:color w:val="000000"/>
                <w:sz w:val="28"/>
                <w:szCs w:val="28"/>
              </w:rPr>
            </w:pPr>
            <w:r w:rsidRPr="00A06A4C">
              <w:rPr>
                <w:rFonts w:ascii="Times New Roman" w:eastAsia="TimesNewRomanPSMT" w:hAnsi="Times New Roman"/>
                <w:b/>
                <w:color w:val="000000"/>
                <w:sz w:val="28"/>
                <w:szCs w:val="28"/>
                <w:lang w:val="kk"/>
              </w:rPr>
              <w:t>Жүйелік</w:t>
            </w:r>
            <w:r w:rsidRPr="00A06A4C">
              <w:rPr>
                <w:rFonts w:ascii="Times New Roman" w:eastAsia="TimesNewRomanPSMT" w:hAnsi="Times New Roman"/>
                <w:b/>
                <w:color w:val="000000"/>
                <w:sz w:val="28"/>
                <w:szCs w:val="28"/>
                <w:lang w:val="kk"/>
              </w:rPr>
              <w:lastRenderedPageBreak/>
              <w:t>-ағзалық класс</w:t>
            </w:r>
          </w:p>
        </w:tc>
        <w:tc>
          <w:tcPr>
            <w:tcW w:w="1192" w:type="dxa"/>
          </w:tcPr>
          <w:p w14:paraId="74B4774F" w14:textId="77777777" w:rsidR="00F81FA4" w:rsidRPr="00A06A4C" w:rsidRDefault="00E164C3" w:rsidP="00F81FA4">
            <w:pPr>
              <w:spacing w:after="0" w:line="240" w:lineRule="auto"/>
              <w:jc w:val="both"/>
              <w:rPr>
                <w:rFonts w:ascii="Times New Roman" w:eastAsia="TimesNewRomanPSMT" w:hAnsi="Times New Roman"/>
                <w:b/>
                <w:color w:val="000000"/>
                <w:sz w:val="28"/>
                <w:szCs w:val="28"/>
              </w:rPr>
            </w:pPr>
            <w:r w:rsidRPr="00A06A4C">
              <w:rPr>
                <w:rFonts w:ascii="Times New Roman" w:eastAsia="TimesNewRomanPSMT" w:hAnsi="Times New Roman"/>
                <w:b/>
                <w:color w:val="000000"/>
                <w:sz w:val="28"/>
                <w:szCs w:val="28"/>
                <w:lang w:val="kk"/>
              </w:rPr>
              <w:lastRenderedPageBreak/>
              <w:t xml:space="preserve">Хирургиялық </w:t>
            </w:r>
            <w:r w:rsidRPr="00A06A4C">
              <w:rPr>
                <w:rFonts w:ascii="Times New Roman" w:eastAsia="TimesNewRomanPSMT" w:hAnsi="Times New Roman"/>
                <w:b/>
                <w:color w:val="000000"/>
                <w:sz w:val="28"/>
                <w:szCs w:val="28"/>
                <w:lang w:val="kk"/>
              </w:rPr>
              <w:lastRenderedPageBreak/>
              <w:t>науқастардағы профилактика</w:t>
            </w:r>
          </w:p>
        </w:tc>
        <w:tc>
          <w:tcPr>
            <w:tcW w:w="1822" w:type="dxa"/>
          </w:tcPr>
          <w:p w14:paraId="4A51F547" w14:textId="77777777" w:rsidR="00F81FA4" w:rsidRPr="00A06A4C" w:rsidRDefault="00E164C3" w:rsidP="00F81FA4">
            <w:pPr>
              <w:spacing w:after="0" w:line="240" w:lineRule="auto"/>
              <w:jc w:val="both"/>
              <w:rPr>
                <w:rFonts w:ascii="Times New Roman" w:eastAsia="TimesNewRomanPSMT" w:hAnsi="Times New Roman"/>
                <w:b/>
                <w:color w:val="000000"/>
                <w:sz w:val="28"/>
                <w:szCs w:val="28"/>
              </w:rPr>
            </w:pPr>
            <w:r w:rsidRPr="00A06A4C">
              <w:rPr>
                <w:rFonts w:ascii="Times New Roman" w:eastAsia="TimesNewRomanPSMT" w:hAnsi="Times New Roman"/>
                <w:b/>
                <w:color w:val="000000"/>
                <w:sz w:val="28"/>
                <w:szCs w:val="28"/>
                <w:lang w:val="kk"/>
              </w:rPr>
              <w:lastRenderedPageBreak/>
              <w:t>Медициналы</w:t>
            </w:r>
            <w:r w:rsidRPr="00A06A4C">
              <w:rPr>
                <w:rFonts w:ascii="Times New Roman" w:eastAsia="TimesNewRomanPSMT" w:hAnsi="Times New Roman"/>
                <w:b/>
                <w:color w:val="000000"/>
                <w:sz w:val="28"/>
                <w:szCs w:val="28"/>
                <w:lang w:val="kk"/>
              </w:rPr>
              <w:lastRenderedPageBreak/>
              <w:t xml:space="preserve">қ пациенттердегі профилактика </w:t>
            </w:r>
          </w:p>
        </w:tc>
        <w:tc>
          <w:tcPr>
            <w:tcW w:w="1411" w:type="dxa"/>
          </w:tcPr>
          <w:p w14:paraId="453B8E11" w14:textId="77777777" w:rsidR="00F81FA4" w:rsidRPr="00A06A4C" w:rsidRDefault="00E164C3" w:rsidP="00F81FA4">
            <w:pPr>
              <w:spacing w:after="0" w:line="240" w:lineRule="auto"/>
              <w:jc w:val="both"/>
              <w:rPr>
                <w:rFonts w:ascii="Times New Roman" w:eastAsia="TimesNewRomanPSMT" w:hAnsi="Times New Roman"/>
                <w:b/>
                <w:color w:val="000000"/>
                <w:sz w:val="28"/>
                <w:szCs w:val="28"/>
              </w:rPr>
            </w:pPr>
            <w:r w:rsidRPr="00A06A4C">
              <w:rPr>
                <w:rFonts w:ascii="Times New Roman" w:eastAsia="TimesNewRomanPSMT" w:hAnsi="Times New Roman"/>
                <w:b/>
                <w:color w:val="000000"/>
                <w:sz w:val="28"/>
                <w:szCs w:val="28"/>
                <w:lang w:val="kk"/>
              </w:rPr>
              <w:lastRenderedPageBreak/>
              <w:t>Өкпе артериясы</w:t>
            </w:r>
            <w:r w:rsidRPr="00A06A4C">
              <w:rPr>
                <w:rFonts w:ascii="Times New Roman" w:eastAsia="TimesNewRomanPSMT" w:hAnsi="Times New Roman"/>
                <w:b/>
                <w:color w:val="000000"/>
                <w:sz w:val="28"/>
                <w:szCs w:val="28"/>
                <w:lang w:val="kk"/>
              </w:rPr>
              <w:lastRenderedPageBreak/>
              <w:t>ның тромбоэмболиясымен немесе онсыз тереңдегі веналар тромбозы бар пациенттерді  емдеу</w:t>
            </w:r>
          </w:p>
        </w:tc>
        <w:tc>
          <w:tcPr>
            <w:tcW w:w="1337" w:type="dxa"/>
          </w:tcPr>
          <w:p w14:paraId="18C603E3" w14:textId="77777777" w:rsidR="00227072" w:rsidRPr="00A06A4C" w:rsidRDefault="002F528C" w:rsidP="00227072">
            <w:pPr>
              <w:spacing w:after="0" w:line="240" w:lineRule="auto"/>
              <w:jc w:val="both"/>
              <w:rPr>
                <w:rFonts w:ascii="Times New Roman" w:hAnsi="Times New Roman"/>
                <w:b/>
                <w:sz w:val="28"/>
                <w:szCs w:val="28"/>
              </w:rPr>
            </w:pPr>
            <w:r w:rsidRPr="00A06A4C">
              <w:rPr>
                <w:rFonts w:ascii="Times New Roman" w:hAnsi="Times New Roman"/>
                <w:b/>
                <w:sz w:val="28"/>
                <w:szCs w:val="28"/>
                <w:lang w:val="kk"/>
              </w:rPr>
              <w:lastRenderedPageBreak/>
              <w:t xml:space="preserve">Белсенді обыры </w:t>
            </w:r>
            <w:r w:rsidRPr="00A06A4C">
              <w:rPr>
                <w:rFonts w:ascii="Times New Roman" w:hAnsi="Times New Roman"/>
                <w:b/>
                <w:sz w:val="28"/>
                <w:szCs w:val="28"/>
                <w:lang w:val="kk"/>
              </w:rPr>
              <w:lastRenderedPageBreak/>
              <w:t xml:space="preserve">бар пациенттерде </w:t>
            </w:r>
            <w:r w:rsidRPr="00A06A4C">
              <w:rPr>
                <w:rFonts w:ascii="Times New Roman" w:hAnsi="Times New Roman"/>
                <w:b/>
                <w:sz w:val="28"/>
                <w:szCs w:val="28"/>
                <w:lang w:val="kk-KZ"/>
              </w:rPr>
              <w:t>т</w:t>
            </w:r>
            <w:r w:rsidR="00227072" w:rsidRPr="00A06A4C">
              <w:rPr>
                <w:rFonts w:ascii="Times New Roman" w:hAnsi="Times New Roman"/>
                <w:b/>
                <w:sz w:val="28"/>
                <w:szCs w:val="28"/>
                <w:lang w:val="kk"/>
              </w:rPr>
              <w:t xml:space="preserve">ереңдегі веналар тромбозын және </w:t>
            </w:r>
          </w:p>
          <w:p w14:paraId="7F8FC98B" w14:textId="77777777" w:rsidR="002F528C" w:rsidRPr="00A06A4C" w:rsidRDefault="00227072" w:rsidP="002F528C">
            <w:pPr>
              <w:jc w:val="both"/>
              <w:rPr>
                <w:rFonts w:ascii="Times New Roman" w:eastAsia="TimesNewRomanPSMT" w:hAnsi="Times New Roman"/>
                <w:b/>
                <w:color w:val="000000"/>
                <w:sz w:val="28"/>
                <w:szCs w:val="28"/>
              </w:rPr>
            </w:pPr>
            <w:r w:rsidRPr="00A06A4C">
              <w:rPr>
                <w:rFonts w:ascii="Times New Roman" w:hAnsi="Times New Roman"/>
                <w:b/>
                <w:sz w:val="28"/>
                <w:szCs w:val="28"/>
                <w:lang w:val="kk"/>
              </w:rPr>
              <w:t xml:space="preserve">өкпе артериясының тромбоэмболиясын </w:t>
            </w:r>
            <w:r w:rsidR="002F528C" w:rsidRPr="00A06A4C">
              <w:rPr>
                <w:rFonts w:ascii="Times New Roman" w:hAnsi="Times New Roman"/>
                <w:b/>
                <w:sz w:val="28"/>
                <w:szCs w:val="28"/>
                <w:lang w:val="kk-KZ"/>
              </w:rPr>
              <w:t>кеңейтілген</w:t>
            </w:r>
            <w:r w:rsidRPr="00A06A4C">
              <w:rPr>
                <w:rFonts w:ascii="Times New Roman" w:hAnsi="Times New Roman"/>
                <w:b/>
                <w:sz w:val="28"/>
                <w:szCs w:val="28"/>
                <w:lang w:val="kk"/>
              </w:rPr>
              <w:t xml:space="preserve"> емдеу </w:t>
            </w:r>
          </w:p>
          <w:p w14:paraId="4A33CE89" w14:textId="77777777" w:rsidR="00F81FA4" w:rsidRPr="00A06A4C" w:rsidRDefault="00F81FA4" w:rsidP="00227072">
            <w:pPr>
              <w:spacing w:after="0" w:line="240" w:lineRule="auto"/>
              <w:jc w:val="both"/>
              <w:rPr>
                <w:rFonts w:ascii="Times New Roman" w:eastAsia="TimesNewRomanPSMT" w:hAnsi="Times New Roman"/>
                <w:b/>
                <w:color w:val="000000"/>
                <w:sz w:val="28"/>
                <w:szCs w:val="28"/>
              </w:rPr>
            </w:pPr>
          </w:p>
        </w:tc>
        <w:tc>
          <w:tcPr>
            <w:tcW w:w="1196" w:type="dxa"/>
          </w:tcPr>
          <w:p w14:paraId="40872D1E" w14:textId="77777777" w:rsidR="00F81FA4" w:rsidRPr="00A06A4C" w:rsidRDefault="00E164C3" w:rsidP="00F81FA4">
            <w:pPr>
              <w:spacing w:after="0" w:line="240" w:lineRule="auto"/>
              <w:jc w:val="both"/>
              <w:rPr>
                <w:rFonts w:ascii="Times New Roman" w:eastAsia="TimesNewRomanPSMT" w:hAnsi="Times New Roman"/>
                <w:b/>
                <w:color w:val="000000"/>
                <w:sz w:val="28"/>
                <w:szCs w:val="28"/>
              </w:rPr>
            </w:pPr>
            <w:r w:rsidRPr="00A06A4C">
              <w:rPr>
                <w:rFonts w:ascii="Times New Roman" w:eastAsia="TimesNewRomanPSMT" w:hAnsi="Times New Roman"/>
                <w:b/>
                <w:color w:val="000000"/>
                <w:sz w:val="28"/>
                <w:szCs w:val="28"/>
                <w:lang w:val="kk"/>
              </w:rPr>
              <w:lastRenderedPageBreak/>
              <w:t xml:space="preserve">Тұрақсыз </w:t>
            </w:r>
            <w:r w:rsidRPr="00A06A4C">
              <w:rPr>
                <w:rFonts w:ascii="Times New Roman" w:eastAsia="TimesNewRomanPSMT" w:hAnsi="Times New Roman"/>
                <w:b/>
                <w:color w:val="000000"/>
                <w:sz w:val="28"/>
                <w:szCs w:val="28"/>
                <w:lang w:val="kk"/>
              </w:rPr>
              <w:lastRenderedPageBreak/>
              <w:t xml:space="preserve">стенокардиясы және  Q тісшесінсіз миокард инфарктісі бар пациенттерді емдеу </w:t>
            </w:r>
          </w:p>
        </w:tc>
        <w:tc>
          <w:tcPr>
            <w:tcW w:w="1003" w:type="dxa"/>
          </w:tcPr>
          <w:p w14:paraId="1CDABF74" w14:textId="77777777" w:rsidR="00F81FA4" w:rsidRPr="00A06A4C" w:rsidRDefault="00E164C3" w:rsidP="00F81FA4">
            <w:pPr>
              <w:spacing w:after="0" w:line="240" w:lineRule="auto"/>
              <w:jc w:val="both"/>
              <w:rPr>
                <w:rFonts w:ascii="Times New Roman" w:eastAsia="TimesNewRomanPSMT" w:hAnsi="Times New Roman"/>
                <w:b/>
                <w:color w:val="000000"/>
                <w:sz w:val="28"/>
                <w:szCs w:val="28"/>
              </w:rPr>
            </w:pPr>
            <w:r w:rsidRPr="00A06A4C">
              <w:rPr>
                <w:rFonts w:ascii="Times New Roman" w:eastAsia="TimesNewRomanPSMT" w:hAnsi="Times New Roman"/>
                <w:b/>
                <w:color w:val="000000"/>
                <w:sz w:val="28"/>
                <w:szCs w:val="28"/>
                <w:lang w:val="kk"/>
              </w:rPr>
              <w:lastRenderedPageBreak/>
              <w:t>ST сегмент</w:t>
            </w:r>
            <w:r w:rsidRPr="00A06A4C">
              <w:rPr>
                <w:rFonts w:ascii="Times New Roman" w:eastAsia="TimesNewRomanPSMT" w:hAnsi="Times New Roman"/>
                <w:b/>
                <w:color w:val="000000"/>
                <w:sz w:val="28"/>
                <w:szCs w:val="28"/>
                <w:lang w:val="kk"/>
              </w:rPr>
              <w:lastRenderedPageBreak/>
              <w:t>і көтерілген жедел миокард инфарктісі бар пациенттерді емдеу</w:t>
            </w:r>
          </w:p>
        </w:tc>
      </w:tr>
      <w:tr w:rsidR="009F656B" w:rsidRPr="00A06A4C" w14:paraId="54F4807B" w14:textId="77777777" w:rsidTr="00425BD0">
        <w:tc>
          <w:tcPr>
            <w:tcW w:w="1326" w:type="dxa"/>
          </w:tcPr>
          <w:p w14:paraId="141B5543"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color w:val="000000"/>
                <w:sz w:val="28"/>
                <w:szCs w:val="28"/>
                <w:lang w:val="kk"/>
              </w:rPr>
              <w:lastRenderedPageBreak/>
              <w:t>Қан және лимфа жүйесінің аурулары</w:t>
            </w:r>
          </w:p>
        </w:tc>
        <w:tc>
          <w:tcPr>
            <w:tcW w:w="1192" w:type="dxa"/>
          </w:tcPr>
          <w:p w14:paraId="77A2B165"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Өте жиі:</w:t>
            </w:r>
          </w:p>
          <w:p w14:paraId="377C6987" w14:textId="77777777" w:rsidR="00F81FA4" w:rsidRPr="00A06A4C" w:rsidRDefault="00E164C3" w:rsidP="00F81FA4">
            <w:pPr>
              <w:spacing w:after="0" w:line="240" w:lineRule="auto"/>
              <w:jc w:val="both"/>
              <w:rPr>
                <w:rFonts w:ascii="Times New Roman" w:eastAsia="TimesNewRomanPSMT" w:hAnsi="Times New Roman"/>
                <w:bCs/>
                <w:color w:val="000000"/>
                <w:sz w:val="28"/>
                <w:szCs w:val="28"/>
                <w:vertAlign w:val="superscript"/>
              </w:rPr>
            </w:pPr>
            <w:r w:rsidRPr="00A06A4C">
              <w:rPr>
                <w:rFonts w:ascii="Times New Roman" w:eastAsia="TimesNewRomanPSMT" w:hAnsi="Times New Roman"/>
                <w:bCs/>
                <w:color w:val="000000"/>
                <w:sz w:val="28"/>
                <w:szCs w:val="28"/>
                <w:lang w:val="kk"/>
              </w:rPr>
              <w:t xml:space="preserve">Қан кету </w:t>
            </w:r>
            <w:r w:rsidRPr="00A06A4C">
              <w:rPr>
                <w:rFonts w:ascii="Times New Roman" w:eastAsia="TimesNewRomanPSMT" w:hAnsi="Times New Roman"/>
                <w:bCs/>
                <w:color w:val="000000"/>
                <w:sz w:val="28"/>
                <w:szCs w:val="28"/>
                <w:vertAlign w:val="superscript"/>
                <w:lang w:val="kk"/>
              </w:rPr>
              <w:t>а</w:t>
            </w:r>
          </w:p>
          <w:p w14:paraId="3AE92102"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Сирек:</w:t>
            </w:r>
          </w:p>
          <w:p w14:paraId="1CA40FB6"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color w:val="000000"/>
                <w:sz w:val="28"/>
                <w:szCs w:val="28"/>
                <w:lang w:val="kk"/>
              </w:rPr>
              <w:t>Ретроперитонеальді қан кету</w:t>
            </w:r>
          </w:p>
        </w:tc>
        <w:tc>
          <w:tcPr>
            <w:tcW w:w="1822" w:type="dxa"/>
          </w:tcPr>
          <w:p w14:paraId="5CFB859E"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Жиі:</w:t>
            </w:r>
          </w:p>
          <w:p w14:paraId="3841E9B2"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color w:val="000000"/>
                <w:sz w:val="28"/>
                <w:szCs w:val="28"/>
                <w:lang w:val="kk"/>
              </w:rPr>
              <w:t xml:space="preserve">қан кету </w:t>
            </w:r>
            <w:r w:rsidRPr="00A06A4C">
              <w:rPr>
                <w:rFonts w:ascii="Times New Roman" w:eastAsia="TimesNewRomanPSMT" w:hAnsi="Times New Roman"/>
                <w:bCs/>
                <w:color w:val="000000"/>
                <w:sz w:val="28"/>
                <w:szCs w:val="28"/>
                <w:vertAlign w:val="superscript"/>
                <w:lang w:val="kk"/>
              </w:rPr>
              <w:t>а</w:t>
            </w:r>
          </w:p>
        </w:tc>
        <w:tc>
          <w:tcPr>
            <w:tcW w:w="1411" w:type="dxa"/>
          </w:tcPr>
          <w:p w14:paraId="53AF2FB3"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Өте жиі:</w:t>
            </w:r>
          </w:p>
          <w:p w14:paraId="02C5BE4C" w14:textId="77777777" w:rsidR="00F81FA4" w:rsidRPr="00A06A4C" w:rsidRDefault="00E164C3" w:rsidP="00F81FA4">
            <w:pPr>
              <w:spacing w:after="0" w:line="240" w:lineRule="auto"/>
              <w:jc w:val="both"/>
              <w:rPr>
                <w:rFonts w:ascii="Times New Roman" w:eastAsia="TimesNewRomanPSMT" w:hAnsi="Times New Roman"/>
                <w:bCs/>
                <w:color w:val="000000"/>
                <w:sz w:val="28"/>
                <w:szCs w:val="28"/>
                <w:vertAlign w:val="superscript"/>
              </w:rPr>
            </w:pPr>
            <w:r w:rsidRPr="00A06A4C">
              <w:rPr>
                <w:rFonts w:ascii="Times New Roman" w:eastAsia="TimesNewRomanPSMT" w:hAnsi="Times New Roman"/>
                <w:bCs/>
                <w:color w:val="000000"/>
                <w:sz w:val="28"/>
                <w:szCs w:val="28"/>
                <w:lang w:val="kk"/>
              </w:rPr>
              <w:t xml:space="preserve">Қан кету </w:t>
            </w:r>
            <w:r w:rsidRPr="00A06A4C">
              <w:rPr>
                <w:rFonts w:ascii="Times New Roman" w:eastAsia="TimesNewRomanPSMT" w:hAnsi="Times New Roman"/>
                <w:bCs/>
                <w:color w:val="000000"/>
                <w:sz w:val="28"/>
                <w:szCs w:val="28"/>
                <w:vertAlign w:val="superscript"/>
                <w:lang w:val="kk"/>
              </w:rPr>
              <w:t>а</w:t>
            </w:r>
          </w:p>
          <w:p w14:paraId="77221C08"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i/>
                <w:iCs/>
                <w:color w:val="000000"/>
                <w:sz w:val="28"/>
                <w:szCs w:val="28"/>
                <w:lang w:val="kk"/>
              </w:rPr>
              <w:t>Жиі емес:</w:t>
            </w:r>
            <w:r w:rsidRPr="00A06A4C">
              <w:rPr>
                <w:rFonts w:ascii="Times New Roman" w:eastAsia="TimesNewRomanPSMT" w:hAnsi="Times New Roman"/>
                <w:bCs/>
                <w:color w:val="000000"/>
                <w:sz w:val="28"/>
                <w:szCs w:val="28"/>
                <w:lang w:val="kk"/>
              </w:rPr>
              <w:t xml:space="preserve"> Бассүйекішілік қан кету, Ішпердеартылық қан кету</w:t>
            </w:r>
          </w:p>
        </w:tc>
        <w:tc>
          <w:tcPr>
            <w:tcW w:w="1337" w:type="dxa"/>
          </w:tcPr>
          <w:p w14:paraId="729A6879"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 xml:space="preserve">Жиі </w:t>
            </w:r>
            <w:r w:rsidRPr="00A06A4C">
              <w:rPr>
                <w:rFonts w:ascii="Times New Roman" w:eastAsia="TimesNewRomanPSMT" w:hAnsi="Times New Roman"/>
                <w:bCs/>
                <w:i/>
                <w:iCs/>
                <w:color w:val="000000"/>
                <w:sz w:val="28"/>
                <w:szCs w:val="28"/>
                <w:vertAlign w:val="superscript"/>
                <w:lang w:val="kk"/>
              </w:rPr>
              <w:t>b</w:t>
            </w:r>
            <w:r w:rsidRPr="00A06A4C">
              <w:rPr>
                <w:rFonts w:ascii="Times New Roman" w:eastAsia="TimesNewRomanPSMT" w:hAnsi="Times New Roman"/>
                <w:bCs/>
                <w:i/>
                <w:iCs/>
                <w:color w:val="000000"/>
                <w:sz w:val="28"/>
                <w:szCs w:val="28"/>
                <w:lang w:val="kk"/>
              </w:rPr>
              <w:t>:</w:t>
            </w:r>
          </w:p>
          <w:p w14:paraId="28A6EDC2"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color w:val="000000"/>
                <w:sz w:val="28"/>
                <w:szCs w:val="28"/>
                <w:lang w:val="kk"/>
              </w:rPr>
              <w:t>қан кету</w:t>
            </w:r>
          </w:p>
        </w:tc>
        <w:tc>
          <w:tcPr>
            <w:tcW w:w="1196" w:type="dxa"/>
          </w:tcPr>
          <w:p w14:paraId="26FBF26F"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Жиі:</w:t>
            </w:r>
          </w:p>
          <w:p w14:paraId="2A9066B0" w14:textId="77777777" w:rsidR="00F81FA4" w:rsidRPr="00A06A4C" w:rsidRDefault="00E164C3" w:rsidP="00F81FA4">
            <w:pPr>
              <w:spacing w:after="0" w:line="240" w:lineRule="auto"/>
              <w:jc w:val="both"/>
              <w:rPr>
                <w:rFonts w:ascii="Times New Roman" w:eastAsia="TimesNewRomanPSMT" w:hAnsi="Times New Roman"/>
                <w:bCs/>
                <w:color w:val="000000"/>
                <w:sz w:val="28"/>
                <w:szCs w:val="28"/>
                <w:vertAlign w:val="superscript"/>
              </w:rPr>
            </w:pPr>
            <w:r w:rsidRPr="00A06A4C">
              <w:rPr>
                <w:rFonts w:ascii="Times New Roman" w:eastAsia="TimesNewRomanPSMT" w:hAnsi="Times New Roman"/>
                <w:bCs/>
                <w:color w:val="000000"/>
                <w:sz w:val="28"/>
                <w:szCs w:val="28"/>
                <w:lang w:val="kk"/>
              </w:rPr>
              <w:t xml:space="preserve">қан кету </w:t>
            </w:r>
            <w:r w:rsidRPr="00A06A4C">
              <w:rPr>
                <w:rFonts w:ascii="Times New Roman" w:eastAsia="TimesNewRomanPSMT" w:hAnsi="Times New Roman"/>
                <w:bCs/>
                <w:color w:val="000000"/>
                <w:sz w:val="28"/>
                <w:szCs w:val="28"/>
                <w:vertAlign w:val="superscript"/>
                <w:lang w:val="kk"/>
              </w:rPr>
              <w:t>а</w:t>
            </w:r>
          </w:p>
          <w:p w14:paraId="00C04A07"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Сирек:</w:t>
            </w:r>
          </w:p>
          <w:p w14:paraId="6BE4AB15"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color w:val="000000"/>
                <w:sz w:val="28"/>
                <w:szCs w:val="28"/>
                <w:lang w:val="kk"/>
              </w:rPr>
              <w:t>Ретроперитонеальді қан кету</w:t>
            </w:r>
          </w:p>
        </w:tc>
        <w:tc>
          <w:tcPr>
            <w:tcW w:w="1003" w:type="dxa"/>
          </w:tcPr>
          <w:p w14:paraId="3E843BD7"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 xml:space="preserve">Жиі </w:t>
            </w:r>
            <w:r w:rsidRPr="00A06A4C">
              <w:rPr>
                <w:rFonts w:ascii="Times New Roman" w:eastAsia="TimesNewRomanPSMT" w:hAnsi="Times New Roman"/>
                <w:bCs/>
                <w:i/>
                <w:iCs/>
                <w:color w:val="000000"/>
                <w:sz w:val="28"/>
                <w:szCs w:val="28"/>
                <w:vertAlign w:val="superscript"/>
                <w:lang w:val="kk"/>
              </w:rPr>
              <w:t>b</w:t>
            </w:r>
            <w:r w:rsidRPr="00A06A4C">
              <w:rPr>
                <w:rFonts w:ascii="Times New Roman" w:eastAsia="TimesNewRomanPSMT" w:hAnsi="Times New Roman"/>
                <w:bCs/>
                <w:i/>
                <w:iCs/>
                <w:color w:val="000000"/>
                <w:sz w:val="28"/>
                <w:szCs w:val="28"/>
                <w:lang w:val="kk"/>
              </w:rPr>
              <w:t>:</w:t>
            </w:r>
          </w:p>
          <w:p w14:paraId="71F88C2E"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color w:val="000000"/>
                <w:sz w:val="28"/>
                <w:szCs w:val="28"/>
                <w:lang w:val="kk"/>
              </w:rPr>
              <w:t>Қан кету</w:t>
            </w:r>
          </w:p>
          <w:p w14:paraId="6726C22F"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i/>
                <w:iCs/>
                <w:color w:val="000000"/>
                <w:sz w:val="28"/>
                <w:szCs w:val="28"/>
                <w:lang w:val="kk"/>
              </w:rPr>
              <w:t>Жиі емес:</w:t>
            </w:r>
            <w:r w:rsidRPr="00A06A4C">
              <w:rPr>
                <w:rFonts w:ascii="Times New Roman" w:eastAsia="TimesNewRomanPSMT" w:hAnsi="Times New Roman"/>
                <w:bCs/>
                <w:color w:val="000000"/>
                <w:sz w:val="28"/>
                <w:szCs w:val="28"/>
                <w:lang w:val="kk"/>
              </w:rPr>
              <w:t xml:space="preserve"> Бассүйекішілік қан кету, Ішпердеартылық қан кету</w:t>
            </w:r>
          </w:p>
        </w:tc>
      </w:tr>
    </w:tbl>
    <w:p w14:paraId="42F1CEBE" w14:textId="77777777" w:rsidR="00F81FA4" w:rsidRPr="00A06A4C" w:rsidRDefault="00E164C3" w:rsidP="00F81FA4">
      <w:pPr>
        <w:jc w:val="both"/>
        <w:rPr>
          <w:rFonts w:eastAsia="TimesNewRomanPSMT"/>
          <w:bCs/>
          <w:color w:val="000000"/>
          <w:sz w:val="28"/>
          <w:szCs w:val="28"/>
        </w:rPr>
      </w:pPr>
      <w:r w:rsidRPr="00A06A4C">
        <w:rPr>
          <w:rFonts w:eastAsia="TimesNewRomanPSMT"/>
          <w:bCs/>
          <w:color w:val="000000"/>
          <w:sz w:val="28"/>
          <w:szCs w:val="28"/>
          <w:vertAlign w:val="superscript"/>
          <w:lang w:val="kk"/>
        </w:rPr>
        <w:t>а</w:t>
      </w:r>
      <w:r w:rsidRPr="00A06A4C">
        <w:rPr>
          <w:rFonts w:eastAsia="TimesNewRomanPSMT"/>
          <w:bCs/>
          <w:color w:val="000000"/>
          <w:sz w:val="28"/>
          <w:szCs w:val="28"/>
          <w:lang w:val="kk"/>
        </w:rPr>
        <w:t xml:space="preserve"> инъекция орнындағы қанталаудан басқа гематома, экхимоз,  жарақат гематомасы, гематурия, мұрыннан қан кету және асқазан-ішектен қан кету</w:t>
      </w:r>
    </w:p>
    <w:p w14:paraId="5195239E" w14:textId="77777777" w:rsidR="00F81FA4" w:rsidRPr="00A06A4C" w:rsidRDefault="00E164C3" w:rsidP="00F81FA4">
      <w:pPr>
        <w:jc w:val="both"/>
        <w:rPr>
          <w:rFonts w:eastAsia="TimesNewRomanPSMT"/>
          <w:bCs/>
          <w:color w:val="000000"/>
          <w:sz w:val="28"/>
          <w:szCs w:val="28"/>
        </w:rPr>
      </w:pPr>
      <w:r w:rsidRPr="00A06A4C">
        <w:rPr>
          <w:rFonts w:eastAsia="TimesNewRomanPSMT"/>
          <w:bCs/>
          <w:color w:val="000000"/>
          <w:sz w:val="28"/>
          <w:szCs w:val="28"/>
          <w:vertAlign w:val="superscript"/>
          <w:lang w:val="kk"/>
        </w:rPr>
        <w:t>b</w:t>
      </w:r>
      <w:r w:rsidRPr="00A06A4C">
        <w:rPr>
          <w:rFonts w:eastAsia="TimesNewRomanPSMT"/>
          <w:bCs/>
          <w:color w:val="000000"/>
          <w:sz w:val="28"/>
          <w:szCs w:val="28"/>
          <w:lang w:val="kk"/>
        </w:rPr>
        <w:t xml:space="preserve"> жиілік 3526 пациентті қамтитын тіркелімді ретроспективті зерттеуге негізделген </w:t>
      </w:r>
    </w:p>
    <w:p w14:paraId="61844102" w14:textId="77777777" w:rsidR="00F81FA4" w:rsidRPr="00A06A4C" w:rsidRDefault="00E164C3" w:rsidP="00F81FA4">
      <w:pPr>
        <w:jc w:val="both"/>
        <w:rPr>
          <w:rFonts w:eastAsia="TimesNewRomanPSMT"/>
          <w:bCs/>
          <w:i/>
          <w:iCs/>
          <w:color w:val="000000"/>
          <w:sz w:val="28"/>
          <w:szCs w:val="28"/>
        </w:rPr>
      </w:pPr>
      <w:r w:rsidRPr="00A06A4C">
        <w:rPr>
          <w:rFonts w:eastAsia="TimesNewRomanPSMT"/>
          <w:bCs/>
          <w:i/>
          <w:iCs/>
          <w:color w:val="000000"/>
          <w:sz w:val="28"/>
          <w:szCs w:val="28"/>
          <w:lang w:val="kk"/>
        </w:rPr>
        <w:t xml:space="preserve">Тромбоцитопения және тромбоцитоз </w:t>
      </w:r>
    </w:p>
    <w:tbl>
      <w:tblPr>
        <w:tblStyle w:val="af"/>
        <w:tblW w:w="0" w:type="auto"/>
        <w:tblLook w:val="04A0" w:firstRow="1" w:lastRow="0" w:firstColumn="1" w:lastColumn="0" w:noHBand="0" w:noVBand="1"/>
      </w:tblPr>
      <w:tblGrid>
        <w:gridCol w:w="815"/>
        <w:gridCol w:w="1309"/>
        <w:gridCol w:w="1308"/>
        <w:gridCol w:w="1614"/>
        <w:gridCol w:w="1456"/>
        <w:gridCol w:w="1308"/>
        <w:gridCol w:w="1477"/>
      </w:tblGrid>
      <w:tr w:rsidR="009F656B" w:rsidRPr="00A06A4C" w14:paraId="6EC87E0C" w14:textId="77777777" w:rsidTr="007E70EC">
        <w:tc>
          <w:tcPr>
            <w:tcW w:w="815" w:type="dxa"/>
          </w:tcPr>
          <w:p w14:paraId="29BED70C" w14:textId="77777777" w:rsidR="00F81FA4" w:rsidRPr="00A06A4C" w:rsidRDefault="00E164C3" w:rsidP="00F81FA4">
            <w:pPr>
              <w:spacing w:after="0" w:line="240" w:lineRule="auto"/>
              <w:jc w:val="both"/>
              <w:rPr>
                <w:rFonts w:ascii="Times New Roman" w:eastAsia="TimesNewRomanPSMT" w:hAnsi="Times New Roman"/>
                <w:b/>
                <w:color w:val="000000"/>
                <w:sz w:val="28"/>
                <w:szCs w:val="28"/>
              </w:rPr>
            </w:pPr>
            <w:r w:rsidRPr="00A06A4C">
              <w:rPr>
                <w:rFonts w:ascii="Times New Roman" w:eastAsia="TimesNewRomanPSMT" w:hAnsi="Times New Roman"/>
                <w:b/>
                <w:color w:val="000000"/>
                <w:sz w:val="28"/>
                <w:szCs w:val="28"/>
                <w:lang w:val="kk"/>
              </w:rPr>
              <w:t>Жүйелік-ағзалық класс</w:t>
            </w:r>
          </w:p>
        </w:tc>
        <w:tc>
          <w:tcPr>
            <w:tcW w:w="1309" w:type="dxa"/>
          </w:tcPr>
          <w:p w14:paraId="194CC1BA" w14:textId="77777777" w:rsidR="00F81FA4" w:rsidRPr="00A06A4C" w:rsidRDefault="00E164C3" w:rsidP="00F81FA4">
            <w:pPr>
              <w:spacing w:after="0" w:line="240" w:lineRule="auto"/>
              <w:jc w:val="both"/>
              <w:rPr>
                <w:rFonts w:ascii="Times New Roman" w:eastAsia="TimesNewRomanPSMT" w:hAnsi="Times New Roman"/>
                <w:b/>
                <w:color w:val="000000"/>
                <w:sz w:val="28"/>
                <w:szCs w:val="28"/>
              </w:rPr>
            </w:pPr>
            <w:r w:rsidRPr="00A06A4C">
              <w:rPr>
                <w:rFonts w:ascii="Times New Roman" w:eastAsia="TimesNewRomanPSMT" w:hAnsi="Times New Roman"/>
                <w:b/>
                <w:color w:val="000000"/>
                <w:sz w:val="28"/>
                <w:szCs w:val="28"/>
                <w:lang w:val="kk"/>
              </w:rPr>
              <w:t>Хирургиялық науқастардағы профилактика</w:t>
            </w:r>
          </w:p>
        </w:tc>
        <w:tc>
          <w:tcPr>
            <w:tcW w:w="1308" w:type="dxa"/>
          </w:tcPr>
          <w:p w14:paraId="30B0B24C" w14:textId="77777777" w:rsidR="00F81FA4" w:rsidRPr="00A06A4C" w:rsidRDefault="00E164C3" w:rsidP="00F81FA4">
            <w:pPr>
              <w:spacing w:after="0" w:line="240" w:lineRule="auto"/>
              <w:jc w:val="both"/>
              <w:rPr>
                <w:rFonts w:ascii="Times New Roman" w:eastAsia="TimesNewRomanPSMT" w:hAnsi="Times New Roman"/>
                <w:b/>
                <w:color w:val="000000"/>
                <w:sz w:val="28"/>
                <w:szCs w:val="28"/>
              </w:rPr>
            </w:pPr>
            <w:r w:rsidRPr="00A06A4C">
              <w:rPr>
                <w:rFonts w:ascii="Times New Roman" w:eastAsia="TimesNewRomanPSMT" w:hAnsi="Times New Roman"/>
                <w:b/>
                <w:color w:val="000000"/>
                <w:sz w:val="28"/>
                <w:szCs w:val="28"/>
                <w:lang w:val="kk"/>
              </w:rPr>
              <w:t xml:space="preserve">Медициналық пациенттердегі профилактика </w:t>
            </w:r>
          </w:p>
        </w:tc>
        <w:tc>
          <w:tcPr>
            <w:tcW w:w="1614" w:type="dxa"/>
          </w:tcPr>
          <w:p w14:paraId="05B4CA28" w14:textId="77777777" w:rsidR="00F81FA4" w:rsidRPr="00A06A4C" w:rsidRDefault="00E164C3" w:rsidP="00F81FA4">
            <w:pPr>
              <w:spacing w:after="0" w:line="240" w:lineRule="auto"/>
              <w:jc w:val="both"/>
              <w:rPr>
                <w:rFonts w:ascii="Times New Roman" w:eastAsia="TimesNewRomanPSMT" w:hAnsi="Times New Roman"/>
                <w:b/>
                <w:color w:val="000000"/>
                <w:sz w:val="28"/>
                <w:szCs w:val="28"/>
              </w:rPr>
            </w:pPr>
            <w:r w:rsidRPr="00A06A4C">
              <w:rPr>
                <w:rFonts w:ascii="Times New Roman" w:eastAsia="TimesNewRomanPSMT" w:hAnsi="Times New Roman"/>
                <w:b/>
                <w:color w:val="000000"/>
                <w:sz w:val="28"/>
                <w:szCs w:val="28"/>
                <w:lang w:val="kk"/>
              </w:rPr>
              <w:t xml:space="preserve">Өкпе артериясының тромбоэмболиясымен немесе онсыз тереңдегі веналар </w:t>
            </w:r>
            <w:r w:rsidRPr="00A06A4C">
              <w:rPr>
                <w:rFonts w:ascii="Times New Roman" w:eastAsia="TimesNewRomanPSMT" w:hAnsi="Times New Roman"/>
                <w:b/>
                <w:color w:val="000000"/>
                <w:sz w:val="28"/>
                <w:szCs w:val="28"/>
                <w:lang w:val="kk"/>
              </w:rPr>
              <w:lastRenderedPageBreak/>
              <w:t>тромбозы бар пациенттерді  емдеу</w:t>
            </w:r>
          </w:p>
        </w:tc>
        <w:tc>
          <w:tcPr>
            <w:tcW w:w="1456" w:type="dxa"/>
          </w:tcPr>
          <w:p w14:paraId="03BC0B05" w14:textId="77777777" w:rsidR="00C12DC1" w:rsidRPr="00A06A4C" w:rsidRDefault="00C12DC1" w:rsidP="00C12DC1">
            <w:pPr>
              <w:spacing w:after="0" w:line="240" w:lineRule="auto"/>
              <w:jc w:val="both"/>
              <w:rPr>
                <w:rFonts w:ascii="Times New Roman" w:hAnsi="Times New Roman"/>
                <w:b/>
                <w:sz w:val="28"/>
                <w:szCs w:val="28"/>
              </w:rPr>
            </w:pPr>
            <w:r w:rsidRPr="00A06A4C">
              <w:rPr>
                <w:rFonts w:ascii="Times New Roman" w:hAnsi="Times New Roman"/>
                <w:b/>
                <w:sz w:val="28"/>
                <w:szCs w:val="28"/>
                <w:lang w:val="kk"/>
              </w:rPr>
              <w:lastRenderedPageBreak/>
              <w:t xml:space="preserve">Белсенді обыры бар пациенттерде </w:t>
            </w:r>
            <w:r w:rsidRPr="00A06A4C">
              <w:rPr>
                <w:rFonts w:ascii="Times New Roman" w:hAnsi="Times New Roman"/>
                <w:b/>
                <w:sz w:val="28"/>
                <w:szCs w:val="28"/>
                <w:lang w:val="kk-KZ"/>
              </w:rPr>
              <w:t>т</w:t>
            </w:r>
            <w:r w:rsidRPr="00A06A4C">
              <w:rPr>
                <w:rFonts w:ascii="Times New Roman" w:hAnsi="Times New Roman"/>
                <w:b/>
                <w:sz w:val="28"/>
                <w:szCs w:val="28"/>
                <w:lang w:val="kk"/>
              </w:rPr>
              <w:t xml:space="preserve">ереңдегі веналар тромбозын және </w:t>
            </w:r>
          </w:p>
          <w:p w14:paraId="5FFF71EA" w14:textId="77777777" w:rsidR="00F81FA4" w:rsidRPr="00A06A4C" w:rsidRDefault="00C12DC1" w:rsidP="00C12DC1">
            <w:pPr>
              <w:spacing w:after="0" w:line="240" w:lineRule="auto"/>
              <w:jc w:val="both"/>
              <w:rPr>
                <w:rFonts w:ascii="Times New Roman" w:eastAsia="TimesNewRomanPSMT" w:hAnsi="Times New Roman"/>
                <w:b/>
                <w:color w:val="000000"/>
                <w:sz w:val="28"/>
                <w:szCs w:val="28"/>
              </w:rPr>
            </w:pPr>
            <w:r w:rsidRPr="00A06A4C">
              <w:rPr>
                <w:rFonts w:ascii="Times New Roman" w:hAnsi="Times New Roman"/>
                <w:b/>
                <w:sz w:val="28"/>
                <w:szCs w:val="28"/>
                <w:lang w:val="kk"/>
              </w:rPr>
              <w:lastRenderedPageBreak/>
              <w:t xml:space="preserve">өкпе артериясының тромбоэмболиясын </w:t>
            </w:r>
            <w:r w:rsidRPr="00A06A4C">
              <w:rPr>
                <w:rFonts w:ascii="Times New Roman" w:hAnsi="Times New Roman"/>
                <w:b/>
                <w:sz w:val="28"/>
                <w:szCs w:val="28"/>
                <w:lang w:val="kk-KZ"/>
              </w:rPr>
              <w:t>кеңейтілген</w:t>
            </w:r>
            <w:r w:rsidRPr="00A06A4C">
              <w:rPr>
                <w:rFonts w:ascii="Times New Roman" w:hAnsi="Times New Roman"/>
                <w:b/>
                <w:sz w:val="28"/>
                <w:szCs w:val="28"/>
                <w:lang w:val="kk"/>
              </w:rPr>
              <w:t xml:space="preserve"> емдеу</w:t>
            </w:r>
          </w:p>
        </w:tc>
        <w:tc>
          <w:tcPr>
            <w:tcW w:w="1308" w:type="dxa"/>
          </w:tcPr>
          <w:p w14:paraId="65C21990" w14:textId="77777777" w:rsidR="00F81FA4" w:rsidRPr="00A06A4C" w:rsidRDefault="00E164C3" w:rsidP="00F81FA4">
            <w:pPr>
              <w:spacing w:after="0" w:line="240" w:lineRule="auto"/>
              <w:jc w:val="both"/>
              <w:rPr>
                <w:rFonts w:ascii="Times New Roman" w:eastAsia="TimesNewRomanPSMT" w:hAnsi="Times New Roman"/>
                <w:b/>
                <w:color w:val="000000"/>
                <w:sz w:val="28"/>
                <w:szCs w:val="28"/>
              </w:rPr>
            </w:pPr>
            <w:r w:rsidRPr="00A06A4C">
              <w:rPr>
                <w:rFonts w:ascii="Times New Roman" w:eastAsia="TimesNewRomanPSMT" w:hAnsi="Times New Roman"/>
                <w:b/>
                <w:color w:val="000000"/>
                <w:sz w:val="28"/>
                <w:szCs w:val="28"/>
                <w:lang w:val="kk"/>
              </w:rPr>
              <w:lastRenderedPageBreak/>
              <w:t>Тұрақсыз стенокардиясы және  Q тісшесінсіз миокард инфарк</w:t>
            </w:r>
            <w:r w:rsidRPr="00A06A4C">
              <w:rPr>
                <w:rFonts w:ascii="Times New Roman" w:eastAsia="TimesNewRomanPSMT" w:hAnsi="Times New Roman"/>
                <w:b/>
                <w:color w:val="000000"/>
                <w:sz w:val="28"/>
                <w:szCs w:val="28"/>
                <w:lang w:val="kk"/>
              </w:rPr>
              <w:lastRenderedPageBreak/>
              <w:t xml:space="preserve">тісі бар пациенттерді емдеу </w:t>
            </w:r>
          </w:p>
        </w:tc>
        <w:tc>
          <w:tcPr>
            <w:tcW w:w="1087" w:type="dxa"/>
          </w:tcPr>
          <w:p w14:paraId="625B974E" w14:textId="77777777" w:rsidR="00F81FA4" w:rsidRPr="00A06A4C" w:rsidRDefault="00E164C3" w:rsidP="00F81FA4">
            <w:pPr>
              <w:spacing w:after="0" w:line="240" w:lineRule="auto"/>
              <w:jc w:val="both"/>
              <w:rPr>
                <w:rFonts w:ascii="Times New Roman" w:eastAsia="TimesNewRomanPSMT" w:hAnsi="Times New Roman"/>
                <w:b/>
                <w:color w:val="000000"/>
                <w:sz w:val="28"/>
                <w:szCs w:val="28"/>
              </w:rPr>
            </w:pPr>
            <w:r w:rsidRPr="00A06A4C">
              <w:rPr>
                <w:rFonts w:ascii="Times New Roman" w:eastAsia="TimesNewRomanPSMT" w:hAnsi="Times New Roman"/>
                <w:b/>
                <w:color w:val="000000"/>
                <w:sz w:val="28"/>
                <w:szCs w:val="28"/>
                <w:lang w:val="kk"/>
              </w:rPr>
              <w:lastRenderedPageBreak/>
              <w:t xml:space="preserve">ST сегменті көтерілген жедел миокард инфарктісі бар пациенттерді </w:t>
            </w:r>
            <w:r w:rsidRPr="00A06A4C">
              <w:rPr>
                <w:rFonts w:ascii="Times New Roman" w:eastAsia="TimesNewRomanPSMT" w:hAnsi="Times New Roman"/>
                <w:b/>
                <w:color w:val="000000"/>
                <w:sz w:val="28"/>
                <w:szCs w:val="28"/>
                <w:lang w:val="kk"/>
              </w:rPr>
              <w:lastRenderedPageBreak/>
              <w:t>емдеу</w:t>
            </w:r>
          </w:p>
        </w:tc>
      </w:tr>
      <w:tr w:rsidR="009F656B" w:rsidRPr="00A06A4C" w14:paraId="1E277412" w14:textId="77777777" w:rsidTr="007E70EC">
        <w:tc>
          <w:tcPr>
            <w:tcW w:w="815" w:type="dxa"/>
          </w:tcPr>
          <w:p w14:paraId="1C989616"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color w:val="000000"/>
                <w:sz w:val="28"/>
                <w:szCs w:val="28"/>
                <w:lang w:val="kk"/>
              </w:rPr>
              <w:lastRenderedPageBreak/>
              <w:t>Қан және лимфа жүйесінің аурулары</w:t>
            </w:r>
          </w:p>
        </w:tc>
        <w:tc>
          <w:tcPr>
            <w:tcW w:w="1309" w:type="dxa"/>
          </w:tcPr>
          <w:p w14:paraId="24C28A0F"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Өте жиі:</w:t>
            </w:r>
          </w:p>
          <w:p w14:paraId="5637208A" w14:textId="77777777" w:rsidR="00F81FA4" w:rsidRPr="00A06A4C" w:rsidRDefault="00E164C3" w:rsidP="00F81FA4">
            <w:pPr>
              <w:spacing w:after="0" w:line="240" w:lineRule="auto"/>
              <w:jc w:val="both"/>
              <w:rPr>
                <w:rFonts w:ascii="Times New Roman" w:eastAsia="TimesNewRomanPSMT" w:hAnsi="Times New Roman"/>
                <w:bCs/>
                <w:color w:val="000000"/>
                <w:sz w:val="28"/>
                <w:szCs w:val="28"/>
                <w:vertAlign w:val="superscript"/>
              </w:rPr>
            </w:pPr>
            <w:r w:rsidRPr="00A06A4C">
              <w:rPr>
                <w:rFonts w:ascii="Times New Roman" w:eastAsia="TimesNewRomanPSMT" w:hAnsi="Times New Roman"/>
                <w:bCs/>
                <w:color w:val="000000"/>
                <w:sz w:val="28"/>
                <w:szCs w:val="28"/>
                <w:lang w:val="kk"/>
              </w:rPr>
              <w:t>Тромбоцитоз</w:t>
            </w:r>
            <w:r w:rsidRPr="00A06A4C">
              <w:rPr>
                <w:rFonts w:ascii="Times New Roman" w:eastAsia="TimesNewRomanPSMT" w:hAnsi="Times New Roman"/>
                <w:bCs/>
                <w:color w:val="000000"/>
                <w:sz w:val="28"/>
                <w:szCs w:val="28"/>
                <w:vertAlign w:val="superscript"/>
                <w:lang w:val="kk"/>
              </w:rPr>
              <w:t>c</w:t>
            </w:r>
          </w:p>
          <w:p w14:paraId="1BE825BA"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i/>
                <w:iCs/>
                <w:color w:val="000000"/>
                <w:sz w:val="28"/>
                <w:szCs w:val="28"/>
                <w:lang w:val="kk"/>
              </w:rPr>
              <w:t>Жиі:</w:t>
            </w:r>
            <w:r w:rsidRPr="00A06A4C">
              <w:rPr>
                <w:rFonts w:ascii="Times New Roman" w:eastAsia="TimesNewRomanPSMT" w:hAnsi="Times New Roman"/>
                <w:bCs/>
                <w:color w:val="000000"/>
                <w:sz w:val="28"/>
                <w:szCs w:val="28"/>
                <w:lang w:val="kk"/>
              </w:rPr>
              <w:t xml:space="preserve"> Тромбоцитопения</w:t>
            </w:r>
          </w:p>
        </w:tc>
        <w:tc>
          <w:tcPr>
            <w:tcW w:w="1308" w:type="dxa"/>
          </w:tcPr>
          <w:p w14:paraId="33FC1102"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Жиі емес:</w:t>
            </w:r>
          </w:p>
          <w:p w14:paraId="68255BA8"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color w:val="000000"/>
                <w:sz w:val="28"/>
                <w:szCs w:val="28"/>
                <w:lang w:val="kk"/>
              </w:rPr>
              <w:t>Тромбоцитопения</w:t>
            </w:r>
          </w:p>
        </w:tc>
        <w:tc>
          <w:tcPr>
            <w:tcW w:w="1614" w:type="dxa"/>
          </w:tcPr>
          <w:p w14:paraId="7C3A2561"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Өте жиі:</w:t>
            </w:r>
          </w:p>
          <w:p w14:paraId="5DB8E2E9" w14:textId="77777777" w:rsidR="00F81FA4" w:rsidRPr="00A06A4C" w:rsidRDefault="00E164C3" w:rsidP="00F81FA4">
            <w:pPr>
              <w:spacing w:after="0" w:line="240" w:lineRule="auto"/>
              <w:jc w:val="both"/>
              <w:rPr>
                <w:rFonts w:ascii="Times New Roman" w:eastAsia="TimesNewRomanPSMT" w:hAnsi="Times New Roman"/>
                <w:bCs/>
                <w:color w:val="000000"/>
                <w:sz w:val="28"/>
                <w:szCs w:val="28"/>
                <w:vertAlign w:val="superscript"/>
              </w:rPr>
            </w:pPr>
            <w:r w:rsidRPr="00A06A4C">
              <w:rPr>
                <w:rFonts w:ascii="Times New Roman" w:eastAsia="TimesNewRomanPSMT" w:hAnsi="Times New Roman"/>
                <w:bCs/>
                <w:color w:val="000000"/>
                <w:sz w:val="28"/>
                <w:szCs w:val="28"/>
                <w:lang w:val="kk"/>
              </w:rPr>
              <w:t>Тромбоцитоз</w:t>
            </w:r>
            <w:r w:rsidRPr="00A06A4C">
              <w:rPr>
                <w:rFonts w:ascii="Times New Roman" w:eastAsia="TimesNewRomanPSMT" w:hAnsi="Times New Roman"/>
                <w:bCs/>
                <w:color w:val="000000"/>
                <w:sz w:val="28"/>
                <w:szCs w:val="28"/>
                <w:vertAlign w:val="superscript"/>
                <w:lang w:val="kk"/>
              </w:rPr>
              <w:t>c</w:t>
            </w:r>
          </w:p>
          <w:p w14:paraId="18E5FB69"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Жиі:</w:t>
            </w:r>
          </w:p>
          <w:p w14:paraId="49EA9ACC"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color w:val="000000"/>
                <w:sz w:val="28"/>
                <w:szCs w:val="28"/>
                <w:lang w:val="kk"/>
              </w:rPr>
              <w:t>Тромбоцитопения</w:t>
            </w:r>
          </w:p>
        </w:tc>
        <w:tc>
          <w:tcPr>
            <w:tcW w:w="1456" w:type="dxa"/>
          </w:tcPr>
          <w:p w14:paraId="48417207"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Белгісіз:</w:t>
            </w:r>
          </w:p>
          <w:p w14:paraId="11C0624B"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color w:val="000000"/>
                <w:sz w:val="28"/>
                <w:szCs w:val="28"/>
                <w:lang w:val="kk"/>
              </w:rPr>
              <w:t>Тромбоцитопения</w:t>
            </w:r>
          </w:p>
        </w:tc>
        <w:tc>
          <w:tcPr>
            <w:tcW w:w="1308" w:type="dxa"/>
          </w:tcPr>
          <w:p w14:paraId="1C87925E"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Белгісіз:</w:t>
            </w:r>
          </w:p>
          <w:p w14:paraId="1806DFB1"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color w:val="000000"/>
                <w:sz w:val="28"/>
                <w:szCs w:val="28"/>
                <w:lang w:val="kk"/>
              </w:rPr>
              <w:t>Тромбоцитопения</w:t>
            </w:r>
          </w:p>
        </w:tc>
        <w:tc>
          <w:tcPr>
            <w:tcW w:w="1087" w:type="dxa"/>
          </w:tcPr>
          <w:p w14:paraId="5AC03DF9"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Жиі:</w:t>
            </w:r>
          </w:p>
          <w:p w14:paraId="1C166DE6" w14:textId="77777777" w:rsidR="00F81FA4" w:rsidRPr="00A06A4C" w:rsidRDefault="00E164C3" w:rsidP="00F81FA4">
            <w:pPr>
              <w:spacing w:after="0" w:line="240" w:lineRule="auto"/>
              <w:jc w:val="both"/>
              <w:rPr>
                <w:rFonts w:ascii="Times New Roman" w:eastAsia="TimesNewRomanPSMT" w:hAnsi="Times New Roman"/>
                <w:bCs/>
                <w:color w:val="000000"/>
                <w:sz w:val="28"/>
                <w:szCs w:val="28"/>
                <w:vertAlign w:val="superscript"/>
              </w:rPr>
            </w:pPr>
            <w:r w:rsidRPr="00A06A4C">
              <w:rPr>
                <w:rFonts w:ascii="Times New Roman" w:eastAsia="TimesNewRomanPSMT" w:hAnsi="Times New Roman"/>
                <w:bCs/>
                <w:color w:val="000000"/>
                <w:sz w:val="28"/>
                <w:szCs w:val="28"/>
                <w:lang w:val="kk"/>
              </w:rPr>
              <w:t>Тромбоцитоз</w:t>
            </w:r>
            <w:r w:rsidRPr="00A06A4C">
              <w:rPr>
                <w:rFonts w:ascii="Times New Roman" w:eastAsia="TimesNewRomanPSMT" w:hAnsi="Times New Roman"/>
                <w:bCs/>
                <w:color w:val="000000"/>
                <w:sz w:val="28"/>
                <w:szCs w:val="28"/>
                <w:vertAlign w:val="superscript"/>
                <w:lang w:val="kk"/>
              </w:rPr>
              <w:t>c</w:t>
            </w:r>
          </w:p>
          <w:p w14:paraId="2382CE5F"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color w:val="000000"/>
                <w:sz w:val="28"/>
                <w:szCs w:val="28"/>
                <w:lang w:val="kk"/>
              </w:rPr>
              <w:t>Тромбоцитопения</w:t>
            </w:r>
          </w:p>
          <w:p w14:paraId="6C33E6BB"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i/>
                <w:iCs/>
                <w:color w:val="000000"/>
                <w:sz w:val="28"/>
                <w:szCs w:val="28"/>
                <w:lang w:val="kk"/>
              </w:rPr>
              <w:t>Өте сирек:</w:t>
            </w:r>
            <w:r w:rsidRPr="00A06A4C">
              <w:rPr>
                <w:rFonts w:ascii="Times New Roman" w:eastAsia="TimesNewRomanPSMT" w:hAnsi="Times New Roman"/>
                <w:bCs/>
                <w:color w:val="000000"/>
                <w:sz w:val="28"/>
                <w:szCs w:val="28"/>
                <w:lang w:val="kk"/>
              </w:rPr>
              <w:t xml:space="preserve"> Иммуноаллергиялық тромбоцитопения</w:t>
            </w:r>
          </w:p>
        </w:tc>
      </w:tr>
    </w:tbl>
    <w:p w14:paraId="6A9C8BD0" w14:textId="77777777" w:rsidR="00F81FA4" w:rsidRPr="00A06A4C" w:rsidRDefault="00E164C3" w:rsidP="00F81FA4">
      <w:pPr>
        <w:jc w:val="both"/>
        <w:rPr>
          <w:rFonts w:eastAsia="TimesNewRomanPSMT"/>
          <w:bCs/>
          <w:color w:val="000000"/>
          <w:sz w:val="28"/>
          <w:szCs w:val="28"/>
        </w:rPr>
      </w:pPr>
      <w:r w:rsidRPr="00A06A4C">
        <w:rPr>
          <w:rFonts w:eastAsia="TimesNewRomanPSMT"/>
          <w:bCs/>
          <w:color w:val="000000"/>
          <w:sz w:val="28"/>
          <w:szCs w:val="28"/>
          <w:vertAlign w:val="superscript"/>
          <w:lang w:val="kk"/>
        </w:rPr>
        <w:t>c</w:t>
      </w:r>
      <w:r w:rsidRPr="00A06A4C">
        <w:rPr>
          <w:rFonts w:eastAsia="TimesNewRomanPSMT"/>
          <w:bCs/>
          <w:color w:val="000000"/>
          <w:sz w:val="28"/>
          <w:szCs w:val="28"/>
          <w:lang w:val="kk"/>
        </w:rPr>
        <w:t>: Тромбоциттер жоғары &gt;400 г/л</w:t>
      </w:r>
    </w:p>
    <w:p w14:paraId="12AC8A06" w14:textId="77777777" w:rsidR="00F81FA4" w:rsidRPr="00A06A4C" w:rsidRDefault="00E164C3" w:rsidP="00F81FA4">
      <w:pPr>
        <w:jc w:val="both"/>
        <w:rPr>
          <w:rFonts w:eastAsia="TimesNewRomanPSMT"/>
          <w:bCs/>
          <w:i/>
          <w:iCs/>
          <w:color w:val="000000"/>
          <w:sz w:val="28"/>
          <w:szCs w:val="28"/>
        </w:rPr>
      </w:pPr>
      <w:r w:rsidRPr="00A06A4C">
        <w:rPr>
          <w:rFonts w:eastAsia="TimesNewRomanPSMT"/>
          <w:bCs/>
          <w:i/>
          <w:iCs/>
          <w:color w:val="000000"/>
          <w:sz w:val="28"/>
          <w:szCs w:val="28"/>
          <w:lang w:val="kk"/>
        </w:rPr>
        <w:t>Балалар</w:t>
      </w:r>
    </w:p>
    <w:p w14:paraId="0037CB65" w14:textId="77777777" w:rsidR="00F81FA4" w:rsidRPr="00A06A4C" w:rsidRDefault="00E164C3" w:rsidP="00F81FA4">
      <w:pPr>
        <w:jc w:val="both"/>
        <w:rPr>
          <w:rFonts w:eastAsia="TimesNewRomanPSMT"/>
          <w:bCs/>
          <w:color w:val="000000"/>
          <w:sz w:val="28"/>
          <w:szCs w:val="28"/>
        </w:rPr>
      </w:pPr>
      <w:r w:rsidRPr="00A06A4C">
        <w:rPr>
          <w:rFonts w:eastAsia="TimesNewRomanPSMT"/>
          <w:bCs/>
          <w:color w:val="000000"/>
          <w:sz w:val="28"/>
          <w:szCs w:val="28"/>
          <w:lang w:val="kk"/>
        </w:rPr>
        <w:t>Балаларда натрий эноксапаринінің қауіпсіздігі мен тиімділігі анықталмаған.</w:t>
      </w:r>
    </w:p>
    <w:p w14:paraId="7782928B" w14:textId="77777777" w:rsidR="00F81FA4" w:rsidRPr="00A06A4C" w:rsidRDefault="00F81FA4" w:rsidP="00D80AD5">
      <w:pPr>
        <w:jc w:val="both"/>
        <w:rPr>
          <w:rFonts w:eastAsia="Calibri"/>
          <w:bCs/>
          <w:sz w:val="28"/>
          <w:szCs w:val="28"/>
          <w:lang w:eastAsia="en-US"/>
        </w:rPr>
      </w:pPr>
    </w:p>
    <w:p w14:paraId="673CC8D2" w14:textId="77777777" w:rsidR="00EE5B62" w:rsidRPr="00A06A4C" w:rsidRDefault="00E164C3" w:rsidP="00D80AD5">
      <w:pPr>
        <w:jc w:val="both"/>
        <w:rPr>
          <w:b/>
          <w:sz w:val="28"/>
          <w:szCs w:val="28"/>
          <w:lang w:eastAsia="en-US"/>
        </w:rPr>
      </w:pPr>
      <w:r w:rsidRPr="00A06A4C">
        <w:rPr>
          <w:b/>
          <w:sz w:val="28"/>
          <w:szCs w:val="28"/>
          <w:lang w:val="kk" w:eastAsia="en-US"/>
        </w:rPr>
        <w:t xml:space="preserve">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 </w:t>
      </w:r>
    </w:p>
    <w:p w14:paraId="21F0FEED" w14:textId="77777777" w:rsidR="00EE5B62" w:rsidRPr="00A06A4C" w:rsidRDefault="00E164C3" w:rsidP="00D80AD5">
      <w:pPr>
        <w:jc w:val="both"/>
        <w:rPr>
          <w:sz w:val="28"/>
          <w:szCs w:val="28"/>
          <w:lang w:eastAsia="en-US"/>
        </w:rPr>
      </w:pPr>
      <w:r w:rsidRPr="00A06A4C">
        <w:rPr>
          <w:sz w:val="28"/>
          <w:szCs w:val="28"/>
          <w:lang w:val="kk" w:eastAsia="en-US"/>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ШЖҚ РМК</w:t>
      </w:r>
    </w:p>
    <w:p w14:paraId="35708D62" w14:textId="77777777" w:rsidR="00360C10" w:rsidRPr="00A06A4C" w:rsidRDefault="00BA68DF" w:rsidP="00D80AD5">
      <w:pPr>
        <w:jc w:val="both"/>
        <w:rPr>
          <w:sz w:val="28"/>
          <w:szCs w:val="28"/>
          <w:lang w:eastAsia="en-US"/>
        </w:rPr>
      </w:pPr>
      <w:hyperlink r:id="rId7" w:history="1">
        <w:r w:rsidR="00EE5B62" w:rsidRPr="00A06A4C">
          <w:rPr>
            <w:rStyle w:val="ab"/>
            <w:sz w:val="28"/>
            <w:szCs w:val="28"/>
            <w:lang w:val="kk" w:eastAsia="en-US"/>
          </w:rPr>
          <w:t>http://www.ndda.kz</w:t>
        </w:r>
      </w:hyperlink>
    </w:p>
    <w:p w14:paraId="39ECC6CA" w14:textId="77777777" w:rsidR="000F7736" w:rsidRPr="00A06A4C" w:rsidRDefault="000F7736" w:rsidP="00D80AD5">
      <w:pPr>
        <w:jc w:val="both"/>
        <w:rPr>
          <w:sz w:val="28"/>
          <w:szCs w:val="28"/>
          <w:lang w:eastAsia="en-US"/>
        </w:rPr>
      </w:pPr>
    </w:p>
    <w:p w14:paraId="4B92F339" w14:textId="77777777" w:rsidR="00B96EE6" w:rsidRPr="00A06A4C" w:rsidRDefault="00E164C3" w:rsidP="00D80AD5">
      <w:pPr>
        <w:rPr>
          <w:b/>
          <w:sz w:val="28"/>
          <w:szCs w:val="28"/>
          <w:lang w:eastAsia="en-US"/>
        </w:rPr>
      </w:pPr>
      <w:r w:rsidRPr="00A06A4C">
        <w:rPr>
          <w:b/>
          <w:sz w:val="28"/>
          <w:szCs w:val="28"/>
          <w:lang w:val="kk" w:eastAsia="en-US"/>
        </w:rPr>
        <w:t>Қосымша мәліметтер</w:t>
      </w:r>
    </w:p>
    <w:p w14:paraId="5F89A241" w14:textId="77777777" w:rsidR="00B96EE6" w:rsidRPr="00A06A4C" w:rsidRDefault="00E164C3" w:rsidP="00D80AD5">
      <w:pPr>
        <w:rPr>
          <w:i/>
          <w:sz w:val="28"/>
          <w:szCs w:val="28"/>
          <w:lang w:eastAsia="en-US"/>
        </w:rPr>
      </w:pPr>
      <w:r w:rsidRPr="00A06A4C">
        <w:rPr>
          <w:b/>
          <w:i/>
          <w:sz w:val="28"/>
          <w:szCs w:val="28"/>
          <w:lang w:val="kk" w:eastAsia="en-US"/>
        </w:rPr>
        <w:t xml:space="preserve">Дәрілік препарат құрамы </w:t>
      </w:r>
      <w:bookmarkStart w:id="4" w:name="2175220285"/>
      <w:bookmarkEnd w:id="4"/>
    </w:p>
    <w:p w14:paraId="3E227B91" w14:textId="77777777" w:rsidR="008A7CF0" w:rsidRPr="00A06A4C" w:rsidRDefault="00E164C3" w:rsidP="00D80AD5">
      <w:pPr>
        <w:jc w:val="both"/>
        <w:rPr>
          <w:sz w:val="28"/>
          <w:szCs w:val="28"/>
          <w:lang w:eastAsia="en-US"/>
        </w:rPr>
      </w:pPr>
      <w:r w:rsidRPr="00A06A4C">
        <w:rPr>
          <w:sz w:val="28"/>
          <w:szCs w:val="28"/>
          <w:lang w:val="kk" w:eastAsia="en-US"/>
        </w:rPr>
        <w:t xml:space="preserve">1 шприцтің ішінде </w:t>
      </w:r>
    </w:p>
    <w:p w14:paraId="4BEB4F5A" w14:textId="77777777" w:rsidR="008A7CF0" w:rsidRPr="00A06A4C" w:rsidRDefault="00E164C3" w:rsidP="00D80AD5">
      <w:pPr>
        <w:jc w:val="both"/>
        <w:rPr>
          <w:sz w:val="28"/>
          <w:szCs w:val="28"/>
          <w:lang w:eastAsia="en-US"/>
        </w:rPr>
      </w:pPr>
      <w:r w:rsidRPr="00A06A4C">
        <w:rPr>
          <w:i/>
          <w:sz w:val="28"/>
          <w:szCs w:val="28"/>
          <w:lang w:val="kk" w:eastAsia="en-US"/>
        </w:rPr>
        <w:t>белсенді зат</w:t>
      </w:r>
      <w:r w:rsidRPr="00A06A4C">
        <w:rPr>
          <w:sz w:val="28"/>
          <w:szCs w:val="28"/>
          <w:lang w:val="kk" w:eastAsia="en-US"/>
        </w:rPr>
        <w:t xml:space="preserve"> - натрий эноксапарині 20 мг (2000 анти-Ха ХБ баламалы) немесе 40 мг (4000 анти-Ха ХБ баламалы),</w:t>
      </w:r>
    </w:p>
    <w:p w14:paraId="1D501C32" w14:textId="77777777" w:rsidR="008A7CF0" w:rsidRPr="00A06A4C" w:rsidRDefault="00E164C3" w:rsidP="00D80AD5">
      <w:pPr>
        <w:jc w:val="both"/>
        <w:rPr>
          <w:sz w:val="28"/>
          <w:szCs w:val="28"/>
          <w:lang w:eastAsia="en-US"/>
        </w:rPr>
      </w:pPr>
      <w:r w:rsidRPr="00A06A4C">
        <w:rPr>
          <w:i/>
          <w:sz w:val="28"/>
          <w:szCs w:val="28"/>
          <w:lang w:val="kk" w:eastAsia="en-US"/>
        </w:rPr>
        <w:t>қосымша заттар:</w:t>
      </w:r>
      <w:r w:rsidRPr="00A06A4C">
        <w:rPr>
          <w:sz w:val="28"/>
          <w:szCs w:val="28"/>
          <w:lang w:val="kk" w:eastAsia="en-US"/>
        </w:rPr>
        <w:t xml:space="preserve"> хлорсутек қышқылы (рН түзету үшін), натрий гидроксиді (рН түзету үшін), инъекцияға арналған су.</w:t>
      </w:r>
    </w:p>
    <w:p w14:paraId="25565E3E" w14:textId="77777777" w:rsidR="007A36AD" w:rsidRPr="00A06A4C" w:rsidRDefault="007A36AD" w:rsidP="00D80AD5">
      <w:pPr>
        <w:jc w:val="both"/>
        <w:rPr>
          <w:sz w:val="28"/>
          <w:szCs w:val="28"/>
          <w:lang w:eastAsia="en-US"/>
        </w:rPr>
      </w:pPr>
    </w:p>
    <w:p w14:paraId="7D6A2D36" w14:textId="77777777" w:rsidR="00BA1B28" w:rsidRPr="00A06A4C" w:rsidRDefault="00E164C3" w:rsidP="00D80AD5">
      <w:pPr>
        <w:jc w:val="both"/>
        <w:rPr>
          <w:b/>
          <w:i/>
          <w:sz w:val="28"/>
          <w:szCs w:val="28"/>
          <w:lang w:eastAsia="en-US"/>
        </w:rPr>
      </w:pPr>
      <w:r w:rsidRPr="00A06A4C">
        <w:rPr>
          <w:b/>
          <w:i/>
          <w:sz w:val="28"/>
          <w:szCs w:val="28"/>
          <w:lang w:val="kk" w:eastAsia="en-US"/>
        </w:rPr>
        <w:t>Сыртқы түрінің, иісінің, дәмінің сипаттамасы</w:t>
      </w:r>
    </w:p>
    <w:p w14:paraId="6D5575C3" w14:textId="77777777" w:rsidR="006B5CBE" w:rsidRDefault="008523EA" w:rsidP="00D80AD5">
      <w:pPr>
        <w:jc w:val="both"/>
        <w:rPr>
          <w:sz w:val="28"/>
          <w:lang w:val="kk"/>
        </w:rPr>
      </w:pPr>
      <w:r w:rsidRPr="008523EA">
        <w:rPr>
          <w:sz w:val="28"/>
          <w:lang w:val="kk"/>
        </w:rPr>
        <w:lastRenderedPageBreak/>
        <w:t>Мөлдір ерітінді, түссізден ашық сары түске дейін, көзге көрінетін бөлшектерсіз.</w:t>
      </w:r>
    </w:p>
    <w:p w14:paraId="0293B181" w14:textId="77777777" w:rsidR="008523EA" w:rsidRPr="00A06A4C" w:rsidRDefault="008523EA" w:rsidP="00D80AD5">
      <w:pPr>
        <w:jc w:val="both"/>
        <w:rPr>
          <w:b/>
          <w:sz w:val="28"/>
          <w:szCs w:val="28"/>
          <w:lang w:eastAsia="en-US"/>
        </w:rPr>
      </w:pPr>
    </w:p>
    <w:p w14:paraId="770D587C" w14:textId="77777777" w:rsidR="0036659C" w:rsidRPr="00A06A4C" w:rsidRDefault="00E164C3" w:rsidP="00D80AD5">
      <w:pPr>
        <w:jc w:val="both"/>
        <w:rPr>
          <w:b/>
          <w:sz w:val="28"/>
          <w:szCs w:val="28"/>
          <w:lang w:eastAsia="en-US"/>
        </w:rPr>
      </w:pPr>
      <w:r w:rsidRPr="00A06A4C">
        <w:rPr>
          <w:b/>
          <w:sz w:val="28"/>
          <w:szCs w:val="28"/>
          <w:lang w:val="kk" w:eastAsia="en-US"/>
        </w:rPr>
        <w:t>Шығарылу түрі және қаптамасы</w:t>
      </w:r>
    </w:p>
    <w:p w14:paraId="560876D9" w14:textId="77777777" w:rsidR="002F5211" w:rsidRPr="00A06A4C" w:rsidRDefault="00E164C3" w:rsidP="00796DA3">
      <w:pPr>
        <w:jc w:val="both"/>
        <w:rPr>
          <w:bCs/>
          <w:spacing w:val="-3"/>
          <w:sz w:val="28"/>
          <w:szCs w:val="28"/>
        </w:rPr>
      </w:pPr>
      <w:r w:rsidRPr="00A06A4C">
        <w:rPr>
          <w:bCs/>
          <w:spacing w:val="-3"/>
          <w:sz w:val="28"/>
          <w:szCs w:val="28"/>
          <w:lang w:val="kk"/>
        </w:rPr>
        <w:t>0.2 мл және 0.4 мл препараттан АҚШФ 1 типті түссіз шыныдан жасалған  шприцтерге құйылған.</w:t>
      </w:r>
    </w:p>
    <w:p w14:paraId="1DC43FAC" w14:textId="77777777" w:rsidR="002F5211" w:rsidRPr="00A06A4C" w:rsidRDefault="00E164C3" w:rsidP="00796DA3">
      <w:pPr>
        <w:jc w:val="both"/>
        <w:rPr>
          <w:bCs/>
          <w:spacing w:val="-3"/>
          <w:sz w:val="28"/>
          <w:szCs w:val="28"/>
        </w:rPr>
      </w:pPr>
      <w:r w:rsidRPr="00A06A4C">
        <w:rPr>
          <w:bCs/>
          <w:spacing w:val="-3"/>
          <w:sz w:val="28"/>
          <w:szCs w:val="28"/>
          <w:lang w:val="kk"/>
        </w:rPr>
        <w:t>1 шприцтен пластик контейнерге салынады. 1 контейнерден  медициналық қолдану жөніндегі қазақ және орыс тілдеріндегі нұсқаулықпен бірге картон қорапшаға салынған.</w:t>
      </w:r>
    </w:p>
    <w:p w14:paraId="0CCB5EFD" w14:textId="77777777" w:rsidR="002F5211" w:rsidRPr="00A06A4C" w:rsidRDefault="00E164C3" w:rsidP="00796DA3">
      <w:pPr>
        <w:jc w:val="both"/>
        <w:rPr>
          <w:bCs/>
          <w:spacing w:val="-3"/>
          <w:sz w:val="28"/>
          <w:szCs w:val="28"/>
        </w:rPr>
      </w:pPr>
      <w:r w:rsidRPr="00A06A4C">
        <w:rPr>
          <w:bCs/>
          <w:spacing w:val="-3"/>
          <w:sz w:val="28"/>
          <w:szCs w:val="28"/>
          <w:lang w:val="kk"/>
        </w:rPr>
        <w:t>2 шприцтен пластик контейнерге салынады. 5 контейнерден  медициналық қолдану жөніндегі қазақ және орыс тілдеріндегі нұсқаулықпен бірге картон қорапшаға салынған.</w:t>
      </w:r>
    </w:p>
    <w:p w14:paraId="7107B78B" w14:textId="77777777" w:rsidR="00C64B91" w:rsidRPr="00A06A4C" w:rsidRDefault="00C64B91" w:rsidP="00D80AD5">
      <w:pPr>
        <w:rPr>
          <w:b/>
          <w:sz w:val="28"/>
          <w:szCs w:val="28"/>
          <w:lang w:eastAsia="en-US"/>
        </w:rPr>
      </w:pPr>
    </w:p>
    <w:p w14:paraId="50195312" w14:textId="77777777" w:rsidR="0036659C" w:rsidRPr="00A06A4C" w:rsidRDefault="00E164C3" w:rsidP="00D80AD5">
      <w:pPr>
        <w:rPr>
          <w:b/>
          <w:sz w:val="28"/>
          <w:szCs w:val="28"/>
          <w:lang w:eastAsia="en-US"/>
        </w:rPr>
      </w:pPr>
      <w:r w:rsidRPr="00A06A4C">
        <w:rPr>
          <w:b/>
          <w:sz w:val="28"/>
          <w:szCs w:val="28"/>
          <w:lang w:val="kk" w:eastAsia="en-US"/>
        </w:rPr>
        <w:t>Сақтау мерзімі</w:t>
      </w:r>
    </w:p>
    <w:p w14:paraId="7694B1E0" w14:textId="77777777" w:rsidR="0036659C" w:rsidRPr="00A06A4C" w:rsidRDefault="00E164C3" w:rsidP="00D80AD5">
      <w:pPr>
        <w:rPr>
          <w:sz w:val="28"/>
          <w:szCs w:val="28"/>
          <w:lang w:eastAsia="en-US"/>
        </w:rPr>
      </w:pPr>
      <w:r w:rsidRPr="00A06A4C">
        <w:rPr>
          <w:sz w:val="28"/>
          <w:szCs w:val="28"/>
          <w:lang w:val="kk" w:eastAsia="en-US"/>
        </w:rPr>
        <w:t>3 жыл</w:t>
      </w:r>
    </w:p>
    <w:p w14:paraId="4178E47F" w14:textId="77777777" w:rsidR="00D55D37" w:rsidRPr="00A06A4C" w:rsidRDefault="00E164C3" w:rsidP="00D80AD5">
      <w:pPr>
        <w:rPr>
          <w:sz w:val="28"/>
          <w:szCs w:val="28"/>
          <w:lang w:eastAsia="en-US"/>
        </w:rPr>
      </w:pPr>
      <w:r w:rsidRPr="00A06A4C">
        <w:rPr>
          <w:sz w:val="28"/>
          <w:szCs w:val="28"/>
          <w:lang w:val="kk" w:eastAsia="en-US"/>
        </w:rPr>
        <w:t>Жарамдылық мерзімі өткеннен кейін қолдануға болмайды!</w:t>
      </w:r>
    </w:p>
    <w:p w14:paraId="55E2BB5F" w14:textId="77777777" w:rsidR="00D55D37" w:rsidRPr="00A06A4C" w:rsidRDefault="00D55D37" w:rsidP="00D80AD5">
      <w:pPr>
        <w:jc w:val="both"/>
        <w:rPr>
          <w:b/>
          <w:bCs/>
          <w:spacing w:val="-3"/>
          <w:sz w:val="28"/>
          <w:szCs w:val="28"/>
        </w:rPr>
      </w:pPr>
    </w:p>
    <w:p w14:paraId="763B002D" w14:textId="77777777" w:rsidR="00D55D37" w:rsidRPr="00A06A4C" w:rsidRDefault="00E164C3" w:rsidP="00D80AD5">
      <w:pPr>
        <w:jc w:val="both"/>
        <w:rPr>
          <w:b/>
          <w:bCs/>
          <w:i/>
          <w:spacing w:val="-3"/>
          <w:sz w:val="28"/>
          <w:szCs w:val="28"/>
        </w:rPr>
      </w:pPr>
      <w:r w:rsidRPr="00A06A4C">
        <w:rPr>
          <w:b/>
          <w:bCs/>
          <w:i/>
          <w:spacing w:val="-3"/>
          <w:sz w:val="28"/>
          <w:szCs w:val="28"/>
          <w:lang w:val="kk"/>
        </w:rPr>
        <w:t>Сақтау шарттары</w:t>
      </w:r>
    </w:p>
    <w:p w14:paraId="5082C84A" w14:textId="77777777" w:rsidR="00D55D37" w:rsidRPr="00A06A4C" w:rsidRDefault="00E164C3" w:rsidP="00D80AD5">
      <w:pPr>
        <w:jc w:val="both"/>
        <w:rPr>
          <w:bCs/>
          <w:spacing w:val="-3"/>
          <w:sz w:val="28"/>
          <w:szCs w:val="28"/>
        </w:rPr>
      </w:pPr>
      <w:r w:rsidRPr="00A06A4C">
        <w:rPr>
          <w:bCs/>
          <w:spacing w:val="-3"/>
          <w:sz w:val="28"/>
          <w:szCs w:val="28"/>
          <w:lang w:val="kk"/>
        </w:rPr>
        <w:t>Құрғақ, жарықтан қорғалған жерде, 30</w:t>
      </w:r>
      <w:r w:rsidRPr="00A06A4C">
        <w:rPr>
          <w:rFonts w:ascii="Symbol" w:hAnsi="Symbol"/>
          <w:bCs/>
          <w:spacing w:val="-3"/>
          <w:sz w:val="28"/>
          <w:szCs w:val="28"/>
          <w:lang w:val="kk"/>
        </w:rPr>
        <w:sym w:font="Symbol" w:char="F0B0"/>
      </w:r>
      <w:r w:rsidRPr="00A06A4C">
        <w:rPr>
          <w:bCs/>
          <w:spacing w:val="-3"/>
          <w:sz w:val="28"/>
          <w:szCs w:val="28"/>
          <w:lang w:val="kk"/>
        </w:rPr>
        <w:t>С-ден аспайтын температурада сақтау керек.</w:t>
      </w:r>
    </w:p>
    <w:p w14:paraId="444AA828" w14:textId="77777777" w:rsidR="00D55D37" w:rsidRPr="00A06A4C" w:rsidRDefault="00E164C3" w:rsidP="00D80AD5">
      <w:pPr>
        <w:jc w:val="both"/>
        <w:rPr>
          <w:bCs/>
          <w:spacing w:val="-3"/>
          <w:sz w:val="28"/>
          <w:szCs w:val="28"/>
          <w:lang w:val="uk-UA"/>
        </w:rPr>
      </w:pPr>
      <w:r w:rsidRPr="00A06A4C">
        <w:rPr>
          <w:bCs/>
          <w:spacing w:val="-3"/>
          <w:sz w:val="28"/>
          <w:szCs w:val="28"/>
          <w:lang w:val="kk"/>
        </w:rPr>
        <w:t>Балалардың қолы жетпейтін жерде сақтау керек!</w:t>
      </w:r>
    </w:p>
    <w:p w14:paraId="7F21E83C" w14:textId="77777777" w:rsidR="00D55D37" w:rsidRPr="00A06A4C" w:rsidRDefault="00D55D37" w:rsidP="00D80AD5">
      <w:pPr>
        <w:jc w:val="both"/>
        <w:rPr>
          <w:b/>
          <w:bCs/>
          <w:spacing w:val="-3"/>
          <w:sz w:val="28"/>
          <w:szCs w:val="28"/>
          <w:lang w:val="uk-UA"/>
        </w:rPr>
      </w:pPr>
    </w:p>
    <w:p w14:paraId="52D7409B" w14:textId="77777777" w:rsidR="00D55D37" w:rsidRPr="00A06A4C" w:rsidRDefault="00E164C3" w:rsidP="00D80AD5">
      <w:pPr>
        <w:jc w:val="both"/>
        <w:rPr>
          <w:bCs/>
          <w:spacing w:val="-3"/>
          <w:sz w:val="28"/>
          <w:szCs w:val="28"/>
        </w:rPr>
      </w:pPr>
      <w:r w:rsidRPr="00A06A4C">
        <w:rPr>
          <w:b/>
          <w:bCs/>
          <w:spacing w:val="-3"/>
          <w:sz w:val="28"/>
          <w:szCs w:val="28"/>
          <w:lang w:val="kk"/>
        </w:rPr>
        <w:t>Дәріханалардан босатылу шарттары</w:t>
      </w:r>
    </w:p>
    <w:p w14:paraId="26D6490F" w14:textId="77777777" w:rsidR="00D55D37" w:rsidRPr="00A06A4C" w:rsidRDefault="00E164C3" w:rsidP="00D80AD5">
      <w:pPr>
        <w:jc w:val="both"/>
        <w:rPr>
          <w:bCs/>
          <w:spacing w:val="-3"/>
          <w:sz w:val="28"/>
          <w:szCs w:val="28"/>
        </w:rPr>
      </w:pPr>
      <w:r w:rsidRPr="00A06A4C">
        <w:rPr>
          <w:bCs/>
          <w:spacing w:val="-3"/>
          <w:sz w:val="28"/>
          <w:szCs w:val="28"/>
          <w:lang w:val="kk"/>
        </w:rPr>
        <w:t>Рецепт арқылы</w:t>
      </w:r>
      <w:r w:rsidRPr="00A06A4C">
        <w:rPr>
          <w:bCs/>
          <w:spacing w:val="-3"/>
          <w:sz w:val="28"/>
          <w:szCs w:val="28"/>
          <w:lang w:val="kk"/>
        </w:rPr>
        <w:tab/>
      </w:r>
    </w:p>
    <w:p w14:paraId="05BD9A9F" w14:textId="77777777" w:rsidR="00D55D37" w:rsidRPr="00A06A4C" w:rsidRDefault="00D55D37" w:rsidP="00D80AD5">
      <w:pPr>
        <w:jc w:val="both"/>
        <w:rPr>
          <w:b/>
          <w:bCs/>
          <w:spacing w:val="-3"/>
          <w:sz w:val="28"/>
          <w:szCs w:val="28"/>
        </w:rPr>
      </w:pPr>
    </w:p>
    <w:p w14:paraId="55E174E4" w14:textId="77777777" w:rsidR="00A07756" w:rsidRPr="00A06A4C" w:rsidRDefault="00E164C3" w:rsidP="00D80AD5">
      <w:pPr>
        <w:jc w:val="both"/>
        <w:rPr>
          <w:b/>
          <w:sz w:val="28"/>
          <w:szCs w:val="28"/>
        </w:rPr>
      </w:pPr>
      <w:r w:rsidRPr="00A06A4C">
        <w:rPr>
          <w:b/>
          <w:sz w:val="28"/>
          <w:szCs w:val="28"/>
          <w:lang w:val="kk"/>
        </w:rPr>
        <w:t>Өндіруші туралы мәліметтер</w:t>
      </w:r>
    </w:p>
    <w:p w14:paraId="454E3255" w14:textId="77777777" w:rsidR="00E56A6A" w:rsidRPr="00A06A4C" w:rsidRDefault="00E164C3" w:rsidP="00D80AD5">
      <w:pPr>
        <w:jc w:val="both"/>
        <w:rPr>
          <w:bCs/>
          <w:iCs/>
          <w:sz w:val="28"/>
          <w:szCs w:val="28"/>
        </w:rPr>
      </w:pPr>
      <w:r w:rsidRPr="00A06A4C">
        <w:rPr>
          <w:bCs/>
          <w:iCs/>
          <w:sz w:val="28"/>
          <w:szCs w:val="28"/>
          <w:lang w:val="kk"/>
        </w:rPr>
        <w:t xml:space="preserve">Gland Pharma Limited </w:t>
      </w:r>
    </w:p>
    <w:p w14:paraId="63EDC91C" w14:textId="77777777" w:rsidR="00E56A6A" w:rsidRPr="00A06A4C" w:rsidRDefault="00E164C3" w:rsidP="00D80AD5">
      <w:pPr>
        <w:jc w:val="both"/>
        <w:rPr>
          <w:bCs/>
          <w:iCs/>
          <w:sz w:val="28"/>
          <w:szCs w:val="28"/>
          <w:lang w:val="en-US"/>
        </w:rPr>
      </w:pPr>
      <w:r w:rsidRPr="00A06A4C">
        <w:rPr>
          <w:bCs/>
          <w:iCs/>
          <w:sz w:val="28"/>
          <w:szCs w:val="28"/>
          <w:lang w:val="kk"/>
        </w:rPr>
        <w:t>Sy No. 143-148, 150 &amp; 151, Near Gandimaisamma Cross Roads, D.P. Pally, Dundigal Post, Dundigal – Gandimaisamma Mandal, Medchal – Malkajgiri District, Hyderabad – 500 043, Telangana, Үндістан</w:t>
      </w:r>
    </w:p>
    <w:p w14:paraId="34491608" w14:textId="77777777" w:rsidR="003D3C25" w:rsidRPr="00A06A4C" w:rsidRDefault="00E164C3" w:rsidP="00D80AD5">
      <w:pPr>
        <w:jc w:val="both"/>
        <w:rPr>
          <w:sz w:val="28"/>
          <w:szCs w:val="28"/>
        </w:rPr>
      </w:pPr>
      <w:r w:rsidRPr="00A06A4C">
        <w:rPr>
          <w:sz w:val="28"/>
          <w:szCs w:val="28"/>
          <w:lang w:val="kk"/>
        </w:rPr>
        <w:t>тел. +91-40-6662 1010/2340 2515, факс +91-40-2340 2229</w:t>
      </w:r>
    </w:p>
    <w:p w14:paraId="72DF0918" w14:textId="77777777" w:rsidR="00E56A6A" w:rsidRPr="00A06A4C" w:rsidRDefault="00E164C3" w:rsidP="00D80AD5">
      <w:pPr>
        <w:jc w:val="both"/>
        <w:rPr>
          <w:sz w:val="28"/>
          <w:szCs w:val="28"/>
        </w:rPr>
      </w:pPr>
      <w:r w:rsidRPr="00A06A4C">
        <w:rPr>
          <w:sz w:val="28"/>
          <w:szCs w:val="28"/>
          <w:lang w:val="kk"/>
        </w:rPr>
        <w:t xml:space="preserve">электронды пошта </w:t>
      </w:r>
      <w:hyperlink r:id="rId8" w:history="1">
        <w:r w:rsidRPr="00A06A4C">
          <w:rPr>
            <w:rStyle w:val="ab"/>
            <w:sz w:val="28"/>
            <w:szCs w:val="28"/>
            <w:lang w:val="kk"/>
          </w:rPr>
          <w:t>gland@glandpharma.com</w:t>
        </w:r>
      </w:hyperlink>
    </w:p>
    <w:p w14:paraId="716CD5E7" w14:textId="77777777" w:rsidR="003D3C25" w:rsidRPr="00A06A4C" w:rsidRDefault="003D3C25" w:rsidP="00D80AD5">
      <w:pPr>
        <w:jc w:val="both"/>
        <w:rPr>
          <w:sz w:val="28"/>
          <w:szCs w:val="28"/>
        </w:rPr>
      </w:pPr>
    </w:p>
    <w:p w14:paraId="7756E63E" w14:textId="77777777" w:rsidR="00E56A6A" w:rsidRPr="00A06A4C" w:rsidRDefault="00E164C3" w:rsidP="00D80AD5">
      <w:pPr>
        <w:jc w:val="both"/>
        <w:rPr>
          <w:b/>
          <w:bCs/>
          <w:sz w:val="28"/>
          <w:szCs w:val="28"/>
        </w:rPr>
      </w:pPr>
      <w:r w:rsidRPr="00A06A4C">
        <w:rPr>
          <w:b/>
          <w:bCs/>
          <w:sz w:val="28"/>
          <w:szCs w:val="28"/>
          <w:lang w:val="kk"/>
        </w:rPr>
        <w:t xml:space="preserve">Тіркеу куәлігінің ұстаушысы      </w:t>
      </w:r>
    </w:p>
    <w:p w14:paraId="5BCBC4F1" w14:textId="77777777" w:rsidR="00E56A6A" w:rsidRPr="00A06A4C" w:rsidRDefault="00E164C3" w:rsidP="00D80AD5">
      <w:pPr>
        <w:jc w:val="both"/>
        <w:rPr>
          <w:sz w:val="28"/>
          <w:szCs w:val="28"/>
        </w:rPr>
      </w:pPr>
      <w:r w:rsidRPr="00A06A4C">
        <w:rPr>
          <w:sz w:val="28"/>
          <w:szCs w:val="28"/>
          <w:lang w:val="kk"/>
        </w:rPr>
        <w:t>«Rogers Pharma» ЖШС, Қазақстан</w:t>
      </w:r>
    </w:p>
    <w:p w14:paraId="334F4B76" w14:textId="77777777" w:rsidR="003D3C25" w:rsidRPr="00A06A4C" w:rsidRDefault="00E164C3" w:rsidP="00D80AD5">
      <w:pPr>
        <w:jc w:val="both"/>
        <w:rPr>
          <w:bCs/>
          <w:iCs/>
          <w:sz w:val="28"/>
          <w:szCs w:val="28"/>
        </w:rPr>
      </w:pPr>
      <w:r w:rsidRPr="00A06A4C">
        <w:rPr>
          <w:bCs/>
          <w:iCs/>
          <w:sz w:val="28"/>
          <w:szCs w:val="28"/>
          <w:lang w:val="kk"/>
        </w:rPr>
        <w:t xml:space="preserve">050043, Алматы қ.,  Мирас ықш. ауд., 157, т.е. 819 </w:t>
      </w:r>
    </w:p>
    <w:p w14:paraId="040EB5A7" w14:textId="77777777" w:rsidR="000C1307" w:rsidRPr="00A06A4C" w:rsidRDefault="00E164C3" w:rsidP="00D80AD5">
      <w:pPr>
        <w:jc w:val="both"/>
        <w:rPr>
          <w:bCs/>
          <w:iCs/>
          <w:sz w:val="28"/>
          <w:szCs w:val="28"/>
          <w:lang w:val="en-US"/>
        </w:rPr>
      </w:pPr>
      <w:r w:rsidRPr="00A06A4C">
        <w:rPr>
          <w:bCs/>
          <w:iCs/>
          <w:sz w:val="28"/>
          <w:szCs w:val="28"/>
          <w:lang w:val="kk"/>
        </w:rPr>
        <w:t xml:space="preserve">Тел. (727) 311-81-96 / 97, e-mail: </w:t>
      </w:r>
      <w:hyperlink r:id="rId9" w:history="1">
        <w:r w:rsidR="00796DA3" w:rsidRPr="00A06A4C">
          <w:rPr>
            <w:rStyle w:val="ab"/>
            <w:bCs/>
            <w:iCs/>
            <w:sz w:val="28"/>
            <w:szCs w:val="28"/>
            <w:lang w:val="kk"/>
          </w:rPr>
          <w:t>office.secretary@rogersgroup.in</w:t>
        </w:r>
      </w:hyperlink>
    </w:p>
    <w:p w14:paraId="435B7B98" w14:textId="77777777" w:rsidR="00796DA3" w:rsidRPr="00A06A4C" w:rsidRDefault="00796DA3" w:rsidP="00D80AD5">
      <w:pPr>
        <w:jc w:val="both"/>
        <w:rPr>
          <w:bCs/>
          <w:iCs/>
          <w:sz w:val="28"/>
          <w:szCs w:val="28"/>
          <w:lang w:val="en-US"/>
        </w:rPr>
      </w:pPr>
    </w:p>
    <w:p w14:paraId="27A14B57" w14:textId="77777777" w:rsidR="000C1307" w:rsidRPr="00A06A4C" w:rsidRDefault="00E164C3" w:rsidP="00D80AD5">
      <w:pPr>
        <w:jc w:val="both"/>
        <w:rPr>
          <w:b/>
          <w:sz w:val="28"/>
          <w:szCs w:val="28"/>
          <w:lang w:val="en-US"/>
        </w:rPr>
      </w:pPr>
      <w:r w:rsidRPr="00A06A4C">
        <w:rPr>
          <w:b/>
          <w:iCs/>
          <w:sz w:val="28"/>
          <w:szCs w:val="28"/>
          <w:lang w:val="kk"/>
        </w:rPr>
        <w:t xml:space="preserve">Қазақстан Республикасы аумағында тұтынушылардан дәрілік заттар сапасына  қатысты шағымдар (ұсыныстар) қабылдайтын ұйымның атауы, мекенжайы  және   байланыс деректері (телефон, факс, электронды пошта) </w:t>
      </w:r>
    </w:p>
    <w:p w14:paraId="71D40944" w14:textId="77777777" w:rsidR="00491A66" w:rsidRDefault="00E164C3" w:rsidP="00D80AD5">
      <w:pPr>
        <w:jc w:val="both"/>
        <w:rPr>
          <w:bCs/>
          <w:iCs/>
          <w:sz w:val="28"/>
          <w:szCs w:val="28"/>
          <w:lang w:val="kk"/>
        </w:rPr>
      </w:pPr>
      <w:r w:rsidRPr="00A06A4C">
        <w:rPr>
          <w:bCs/>
          <w:iCs/>
          <w:sz w:val="28"/>
          <w:szCs w:val="28"/>
          <w:lang w:val="kk"/>
        </w:rPr>
        <w:t>«Rogers Pharma</w:t>
      </w:r>
      <w:r w:rsidR="00AB1F61" w:rsidRPr="00A06A4C">
        <w:rPr>
          <w:bCs/>
          <w:iCs/>
          <w:sz w:val="28"/>
          <w:szCs w:val="28"/>
          <w:lang w:val="kk"/>
        </w:rPr>
        <w:t xml:space="preserve">» ЖШС </w:t>
      </w:r>
    </w:p>
    <w:p w14:paraId="6E746C89" w14:textId="77777777" w:rsidR="00491A66" w:rsidRDefault="00E164C3" w:rsidP="00D80AD5">
      <w:pPr>
        <w:jc w:val="both"/>
        <w:rPr>
          <w:bCs/>
          <w:iCs/>
          <w:sz w:val="28"/>
          <w:szCs w:val="28"/>
          <w:lang w:val="kk"/>
        </w:rPr>
      </w:pPr>
      <w:r w:rsidRPr="00A06A4C">
        <w:rPr>
          <w:bCs/>
          <w:iCs/>
          <w:sz w:val="28"/>
          <w:szCs w:val="28"/>
          <w:lang w:val="kk"/>
        </w:rPr>
        <w:t>Қазақстан</w:t>
      </w:r>
      <w:r w:rsidR="00AB1F61" w:rsidRPr="00A06A4C">
        <w:rPr>
          <w:bCs/>
          <w:iCs/>
          <w:sz w:val="28"/>
          <w:szCs w:val="28"/>
          <w:lang w:val="kk"/>
        </w:rPr>
        <w:t>,</w:t>
      </w:r>
      <w:r w:rsidRPr="00A06A4C">
        <w:rPr>
          <w:bCs/>
          <w:iCs/>
          <w:sz w:val="28"/>
          <w:szCs w:val="28"/>
          <w:lang w:val="kk"/>
        </w:rPr>
        <w:t xml:space="preserve"> 050043, Алматы қ., Мирас ықш. ауд., 157, т.е. 819. </w:t>
      </w:r>
    </w:p>
    <w:p w14:paraId="0374C746" w14:textId="77777777" w:rsidR="00491A66" w:rsidRDefault="00E164C3" w:rsidP="00D80AD5">
      <w:pPr>
        <w:jc w:val="both"/>
        <w:rPr>
          <w:bCs/>
          <w:iCs/>
          <w:sz w:val="28"/>
          <w:szCs w:val="28"/>
          <w:lang w:val="kk"/>
        </w:rPr>
      </w:pPr>
      <w:r w:rsidRPr="00A06A4C">
        <w:rPr>
          <w:bCs/>
          <w:iCs/>
          <w:sz w:val="28"/>
          <w:szCs w:val="28"/>
          <w:lang w:val="kk"/>
        </w:rPr>
        <w:lastRenderedPageBreak/>
        <w:t xml:space="preserve">Тел. (727) 311-81-96 / 97, </w:t>
      </w:r>
    </w:p>
    <w:p w14:paraId="320D7384" w14:textId="77777777" w:rsidR="000C1307" w:rsidRPr="00A06A4C" w:rsidRDefault="00E164C3" w:rsidP="00D80AD5">
      <w:pPr>
        <w:jc w:val="both"/>
        <w:rPr>
          <w:bCs/>
          <w:iCs/>
          <w:sz w:val="28"/>
          <w:szCs w:val="28"/>
          <w:lang w:val="kk"/>
        </w:rPr>
      </w:pPr>
      <w:r w:rsidRPr="00A06A4C">
        <w:rPr>
          <w:bCs/>
          <w:iCs/>
          <w:sz w:val="28"/>
          <w:szCs w:val="28"/>
          <w:lang w:val="kk"/>
        </w:rPr>
        <w:t xml:space="preserve">e-mail: </w:t>
      </w:r>
      <w:hyperlink r:id="rId10" w:history="1">
        <w:r w:rsidR="008B5E8D" w:rsidRPr="00A06A4C">
          <w:rPr>
            <w:rStyle w:val="ab"/>
            <w:bCs/>
            <w:iCs/>
            <w:sz w:val="28"/>
            <w:szCs w:val="28"/>
            <w:lang w:val="kk"/>
          </w:rPr>
          <w:t>office.secretary@rogersgroup.in</w:t>
        </w:r>
      </w:hyperlink>
    </w:p>
    <w:p w14:paraId="49155370" w14:textId="77777777" w:rsidR="008B5E8D" w:rsidRPr="00A06A4C" w:rsidRDefault="008B5E8D" w:rsidP="00D80AD5">
      <w:pPr>
        <w:jc w:val="both"/>
        <w:rPr>
          <w:bCs/>
          <w:iCs/>
          <w:sz w:val="28"/>
          <w:szCs w:val="28"/>
          <w:lang w:val="kk"/>
        </w:rPr>
      </w:pPr>
    </w:p>
    <w:p w14:paraId="522ECA46" w14:textId="77777777" w:rsidR="000C1307" w:rsidRPr="00A06A4C" w:rsidRDefault="00E164C3" w:rsidP="00D80AD5">
      <w:pPr>
        <w:jc w:val="both"/>
        <w:rPr>
          <w:b/>
          <w:bCs/>
          <w:iCs/>
          <w:sz w:val="28"/>
          <w:szCs w:val="28"/>
          <w:lang w:val="kk"/>
        </w:rPr>
      </w:pPr>
      <w:r w:rsidRPr="00A06A4C">
        <w:rPr>
          <w:b/>
          <w:bCs/>
          <w:iCs/>
          <w:sz w:val="28"/>
          <w:szCs w:val="28"/>
          <w:lang w:val="kk"/>
        </w:rPr>
        <w:t xml:space="preserve">Қазақстан Республикасы дәрілік заттың тіркеуден кейінгі қауіпсіздігін қадағалауға жауапты ұйымның атауы, мекенжайы және байланыс деректері (телефон, факс, электронды пошта) </w:t>
      </w:r>
    </w:p>
    <w:p w14:paraId="6812D06B" w14:textId="77777777" w:rsidR="00491A66" w:rsidRDefault="00E164C3" w:rsidP="00D80AD5">
      <w:pPr>
        <w:jc w:val="both"/>
        <w:rPr>
          <w:bCs/>
          <w:iCs/>
          <w:sz w:val="28"/>
          <w:szCs w:val="28"/>
          <w:lang w:val="kk"/>
        </w:rPr>
      </w:pPr>
      <w:r w:rsidRPr="00A06A4C">
        <w:rPr>
          <w:bCs/>
          <w:iCs/>
          <w:sz w:val="28"/>
          <w:szCs w:val="28"/>
          <w:lang w:val="kk"/>
        </w:rPr>
        <w:t xml:space="preserve">«Rogers Pharma» ЖШС </w:t>
      </w:r>
    </w:p>
    <w:p w14:paraId="34D295C7" w14:textId="77777777" w:rsidR="00491A66" w:rsidRDefault="00E164C3" w:rsidP="00D80AD5">
      <w:pPr>
        <w:jc w:val="both"/>
        <w:rPr>
          <w:bCs/>
          <w:iCs/>
          <w:sz w:val="28"/>
          <w:szCs w:val="28"/>
          <w:lang w:val="kk"/>
        </w:rPr>
      </w:pPr>
      <w:r w:rsidRPr="00A06A4C">
        <w:rPr>
          <w:bCs/>
          <w:iCs/>
          <w:sz w:val="28"/>
          <w:szCs w:val="28"/>
          <w:lang w:val="kk"/>
        </w:rPr>
        <w:t xml:space="preserve">Қазақстан, 050043, Алматы қ., Мирас ықш. ауд., 157, т.е. 819. </w:t>
      </w:r>
    </w:p>
    <w:p w14:paraId="0DC8C545" w14:textId="77777777" w:rsidR="00C43383" w:rsidRPr="00A06A4C" w:rsidRDefault="00E164C3" w:rsidP="00D80AD5">
      <w:pPr>
        <w:jc w:val="both"/>
        <w:rPr>
          <w:bCs/>
          <w:iCs/>
          <w:sz w:val="28"/>
          <w:szCs w:val="28"/>
        </w:rPr>
      </w:pPr>
      <w:r w:rsidRPr="00A06A4C">
        <w:rPr>
          <w:bCs/>
          <w:iCs/>
          <w:sz w:val="28"/>
          <w:szCs w:val="28"/>
          <w:lang w:val="kk"/>
        </w:rPr>
        <w:t xml:space="preserve">Тел. (727) 311-81-96 / 97, </w:t>
      </w:r>
    </w:p>
    <w:p w14:paraId="6A44909A" w14:textId="77777777" w:rsidR="00C43383" w:rsidRPr="00A06A4C" w:rsidRDefault="00E164C3" w:rsidP="00D80AD5">
      <w:pPr>
        <w:jc w:val="both"/>
        <w:rPr>
          <w:bCs/>
          <w:iCs/>
          <w:sz w:val="28"/>
          <w:szCs w:val="28"/>
        </w:rPr>
      </w:pPr>
      <w:r w:rsidRPr="00A06A4C">
        <w:rPr>
          <w:bCs/>
          <w:iCs/>
          <w:sz w:val="28"/>
          <w:szCs w:val="28"/>
          <w:lang w:val="kk"/>
        </w:rPr>
        <w:t>24 сағат жауап беретін телефон: + 77479911904</w:t>
      </w:r>
    </w:p>
    <w:p w14:paraId="636C480C" w14:textId="77777777" w:rsidR="00E56A6A" w:rsidRPr="00CC7F4E" w:rsidRDefault="00E164C3" w:rsidP="00D80AD5">
      <w:pPr>
        <w:jc w:val="both"/>
        <w:rPr>
          <w:bCs/>
          <w:iCs/>
          <w:sz w:val="28"/>
          <w:szCs w:val="28"/>
        </w:rPr>
      </w:pPr>
      <w:r w:rsidRPr="00A06A4C">
        <w:rPr>
          <w:bCs/>
          <w:iCs/>
          <w:sz w:val="28"/>
          <w:szCs w:val="28"/>
          <w:lang w:val="kk"/>
        </w:rPr>
        <w:t xml:space="preserve">e-mail: </w:t>
      </w:r>
      <w:hyperlink r:id="rId11" w:history="1">
        <w:r w:rsidR="008B5E8D" w:rsidRPr="00A06A4C">
          <w:rPr>
            <w:rStyle w:val="ab"/>
            <w:bCs/>
            <w:iCs/>
            <w:sz w:val="28"/>
            <w:szCs w:val="28"/>
            <w:lang w:val="kk"/>
          </w:rPr>
          <w:t>pharmacovigilance@rogerspharma.kz</w:t>
        </w:r>
      </w:hyperlink>
      <w:r w:rsidR="006121CE" w:rsidRPr="00CC7F4E">
        <w:rPr>
          <w:bCs/>
          <w:iCs/>
          <w:sz w:val="28"/>
          <w:szCs w:val="28"/>
        </w:rPr>
        <w:t xml:space="preserve"> </w:t>
      </w:r>
    </w:p>
    <w:p w14:paraId="4C14E7F9" w14:textId="77777777" w:rsidR="00796DA3" w:rsidRPr="00CC7F4E" w:rsidRDefault="00796DA3" w:rsidP="00D80AD5">
      <w:pPr>
        <w:jc w:val="both"/>
        <w:rPr>
          <w:bCs/>
          <w:iCs/>
          <w:sz w:val="28"/>
          <w:szCs w:val="28"/>
        </w:rPr>
      </w:pPr>
    </w:p>
    <w:p w14:paraId="59141FB6" w14:textId="77777777" w:rsidR="000C1307" w:rsidRPr="00CC7F4E" w:rsidRDefault="000C1307" w:rsidP="00D80AD5">
      <w:pPr>
        <w:jc w:val="both"/>
        <w:rPr>
          <w:sz w:val="28"/>
          <w:szCs w:val="28"/>
        </w:rPr>
      </w:pPr>
    </w:p>
    <w:p w14:paraId="7411644D" w14:textId="77777777" w:rsidR="00E12CF6" w:rsidRPr="00CC7F4E" w:rsidRDefault="00E12CF6"/>
    <w:p w14:paraId="5A41E059" w14:textId="12E0DFDD" w:rsidR="00BF1E6D" w:rsidRDefault="00BF1E6D"/>
    <w:sectPr w:rsidR="00BF1E6D" w:rsidSect="00D80AD5">
      <w:footerReference w:type="even" r:id="rId12"/>
      <w:footerReference w:type="default" r:id="rId13"/>
      <w:footerReference w:type="first" r:id="rId14"/>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F56F6" w14:textId="77777777" w:rsidR="00BA68DF" w:rsidRDefault="00BA68DF">
      <w:r>
        <w:separator/>
      </w:r>
    </w:p>
  </w:endnote>
  <w:endnote w:type="continuationSeparator" w:id="0">
    <w:p w14:paraId="11E6B7B4" w14:textId="77777777" w:rsidR="00BA68DF" w:rsidRDefault="00BA6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azurski">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Cyr-Light">
    <w:altName w:val="Times New Roman"/>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5F3B" w14:textId="77777777" w:rsidR="009D472B" w:rsidRDefault="009D472B"/>
  <w:p w14:paraId="6C7647D4" w14:textId="77777777" w:rsidR="00BF1E6D" w:rsidRDefault="00BA68DF">
    <w:r>
      <w:rPr>
        <w:sz w:val="22"/>
        <w:szCs w:val="22"/>
      </w:rPr>
      <w:t>Шешімі: N085734</w:t>
    </w:r>
    <w:r>
      <w:rPr>
        <w:sz w:val="22"/>
        <w:szCs w:val="22"/>
      </w:rPr>
      <w:br/>
      <w:t>Шешім тіркелген күні: 08.05.2025</w:t>
    </w:r>
    <w:r>
      <w:rPr>
        <w:sz w:val="22"/>
        <w:szCs w:val="22"/>
      </w:rPr>
      <w:br/>
      <w:t>Мемлекеттік орган басшысының (немесе уәкілетті тұлғаның) тегі, аты, әкесінің аты (бар болса): Байтубаев Е. Н.</w:t>
    </w:r>
    <w:r>
      <w:rPr>
        <w:sz w:val="22"/>
        <w:szCs w:val="22"/>
      </w:rPr>
      <w:br/>
      <w:t xml:space="preserve">(Қазақстан Республикасы Денсаулық сақтау министрлігінің Медициналық және </w:t>
    </w:r>
    <w:r>
      <w:rPr>
        <w:sz w:val="22"/>
        <w:szCs w:val="22"/>
      </w:rPr>
      <w:t>фармацевтикалық бақылау комитеті)</w:t>
    </w:r>
    <w:r>
      <w:rPr>
        <w:sz w:val="22"/>
        <w:szCs w:val="22"/>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F3B60" w14:textId="77777777" w:rsidR="009D472B" w:rsidRDefault="009D472B"/>
  <w:p w14:paraId="07D595C4" w14:textId="124F9A58" w:rsidR="00BF1E6D" w:rsidRDefault="00BF1E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4898" w14:textId="77777777" w:rsidR="009D472B" w:rsidRDefault="009D472B"/>
  <w:p w14:paraId="40FDC2C4" w14:textId="77777777" w:rsidR="00BF1E6D" w:rsidRDefault="00BA68DF">
    <w:r>
      <w:rPr>
        <w:sz w:val="22"/>
        <w:szCs w:val="22"/>
      </w:rPr>
      <w:t>Шешімі: N085734</w:t>
    </w:r>
    <w:r>
      <w:rPr>
        <w:sz w:val="22"/>
        <w:szCs w:val="22"/>
      </w:rPr>
      <w:br/>
      <w:t>Шешім тіркелген күні: 08.05.2025</w:t>
    </w:r>
    <w:r>
      <w:rPr>
        <w:sz w:val="22"/>
        <w:szCs w:val="22"/>
      </w:rPr>
      <w:br/>
      <w:t>Мемлекеттік орган ба</w:t>
    </w:r>
    <w:r>
      <w:rPr>
        <w:sz w:val="22"/>
        <w:szCs w:val="22"/>
      </w:rPr>
      <w:t>сшысының (немесе уәкілетті тұлғаның) тегі, аты, әкесінің аты (бар болса): Байтубаев Е. Н.</w:t>
    </w:r>
    <w:r>
      <w:rPr>
        <w:sz w:val="22"/>
        <w:szCs w:val="22"/>
      </w:rPr>
      <w:br/>
      <w:t>(Қазақстан Республикасы Денсаулық сақтау министрлігінің Медициналық және фармацевтикалық бақылау комитеті)</w:t>
    </w:r>
    <w:r>
      <w:rPr>
        <w:sz w:val="22"/>
        <w:szCs w:val="22"/>
      </w:rPr>
      <w:br/>
      <w:t>Осы құжат «Электронды құжат және электрондық цифрлы қол қою</w:t>
    </w:r>
    <w:r>
      <w:rPr>
        <w:sz w:val="22"/>
        <w:szCs w:val="22"/>
      </w:rPr>
      <w:t xml:space="preserve">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BC18F" w14:textId="77777777" w:rsidR="00BA68DF" w:rsidRDefault="00BA68DF">
      <w:r>
        <w:separator/>
      </w:r>
    </w:p>
  </w:footnote>
  <w:footnote w:type="continuationSeparator" w:id="0">
    <w:p w14:paraId="5C78797B" w14:textId="77777777" w:rsidR="00BA68DF" w:rsidRDefault="00BA6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8F4B85A"/>
    <w:lvl w:ilvl="0">
      <w:numFmt w:val="bullet"/>
      <w:lvlText w:val="*"/>
      <w:lvlJc w:val="left"/>
    </w:lvl>
  </w:abstractNum>
  <w:abstractNum w:abstractNumId="1" w15:restartNumberingAfterBreak="0">
    <w:nsid w:val="05925C14"/>
    <w:multiLevelType w:val="hybridMultilevel"/>
    <w:tmpl w:val="4D9856C8"/>
    <w:lvl w:ilvl="0" w:tplc="DBD079EE">
      <w:start w:val="1"/>
      <w:numFmt w:val="bullet"/>
      <w:lvlText w:val=""/>
      <w:lvlJc w:val="left"/>
      <w:pPr>
        <w:ind w:left="720" w:hanging="360"/>
      </w:pPr>
      <w:rPr>
        <w:rFonts w:ascii="Symbol" w:hAnsi="Symbol" w:hint="default"/>
      </w:rPr>
    </w:lvl>
    <w:lvl w:ilvl="1" w:tplc="00D2F39A" w:tentative="1">
      <w:start w:val="1"/>
      <w:numFmt w:val="bullet"/>
      <w:lvlText w:val="o"/>
      <w:lvlJc w:val="left"/>
      <w:pPr>
        <w:ind w:left="1440" w:hanging="360"/>
      </w:pPr>
      <w:rPr>
        <w:rFonts w:ascii="Courier New" w:hAnsi="Courier New" w:cs="Courier New" w:hint="default"/>
      </w:rPr>
    </w:lvl>
    <w:lvl w:ilvl="2" w:tplc="14FC4B40" w:tentative="1">
      <w:start w:val="1"/>
      <w:numFmt w:val="bullet"/>
      <w:lvlText w:val=""/>
      <w:lvlJc w:val="left"/>
      <w:pPr>
        <w:ind w:left="2160" w:hanging="360"/>
      </w:pPr>
      <w:rPr>
        <w:rFonts w:ascii="Wingdings" w:hAnsi="Wingdings" w:hint="default"/>
      </w:rPr>
    </w:lvl>
    <w:lvl w:ilvl="3" w:tplc="59685468" w:tentative="1">
      <w:start w:val="1"/>
      <w:numFmt w:val="bullet"/>
      <w:lvlText w:val=""/>
      <w:lvlJc w:val="left"/>
      <w:pPr>
        <w:ind w:left="2880" w:hanging="360"/>
      </w:pPr>
      <w:rPr>
        <w:rFonts w:ascii="Symbol" w:hAnsi="Symbol" w:hint="default"/>
      </w:rPr>
    </w:lvl>
    <w:lvl w:ilvl="4" w:tplc="69BCB4D2" w:tentative="1">
      <w:start w:val="1"/>
      <w:numFmt w:val="bullet"/>
      <w:lvlText w:val="o"/>
      <w:lvlJc w:val="left"/>
      <w:pPr>
        <w:ind w:left="3600" w:hanging="360"/>
      </w:pPr>
      <w:rPr>
        <w:rFonts w:ascii="Courier New" w:hAnsi="Courier New" w:cs="Courier New" w:hint="default"/>
      </w:rPr>
    </w:lvl>
    <w:lvl w:ilvl="5" w:tplc="7D9ADA7E" w:tentative="1">
      <w:start w:val="1"/>
      <w:numFmt w:val="bullet"/>
      <w:lvlText w:val=""/>
      <w:lvlJc w:val="left"/>
      <w:pPr>
        <w:ind w:left="4320" w:hanging="360"/>
      </w:pPr>
      <w:rPr>
        <w:rFonts w:ascii="Wingdings" w:hAnsi="Wingdings" w:hint="default"/>
      </w:rPr>
    </w:lvl>
    <w:lvl w:ilvl="6" w:tplc="D16806A4" w:tentative="1">
      <w:start w:val="1"/>
      <w:numFmt w:val="bullet"/>
      <w:lvlText w:val=""/>
      <w:lvlJc w:val="left"/>
      <w:pPr>
        <w:ind w:left="5040" w:hanging="360"/>
      </w:pPr>
      <w:rPr>
        <w:rFonts w:ascii="Symbol" w:hAnsi="Symbol" w:hint="default"/>
      </w:rPr>
    </w:lvl>
    <w:lvl w:ilvl="7" w:tplc="3E72066A" w:tentative="1">
      <w:start w:val="1"/>
      <w:numFmt w:val="bullet"/>
      <w:lvlText w:val="o"/>
      <w:lvlJc w:val="left"/>
      <w:pPr>
        <w:ind w:left="5760" w:hanging="360"/>
      </w:pPr>
      <w:rPr>
        <w:rFonts w:ascii="Courier New" w:hAnsi="Courier New" w:cs="Courier New" w:hint="default"/>
      </w:rPr>
    </w:lvl>
    <w:lvl w:ilvl="8" w:tplc="6B9A94EC" w:tentative="1">
      <w:start w:val="1"/>
      <w:numFmt w:val="bullet"/>
      <w:lvlText w:val=""/>
      <w:lvlJc w:val="left"/>
      <w:pPr>
        <w:ind w:left="6480" w:hanging="360"/>
      </w:pPr>
      <w:rPr>
        <w:rFonts w:ascii="Wingdings" w:hAnsi="Wingdings" w:hint="default"/>
      </w:rPr>
    </w:lvl>
  </w:abstractNum>
  <w:abstractNum w:abstractNumId="2" w15:restartNumberingAfterBreak="0">
    <w:nsid w:val="06E936C2"/>
    <w:multiLevelType w:val="singleLevel"/>
    <w:tmpl w:val="0419000F"/>
    <w:lvl w:ilvl="0">
      <w:start w:val="2"/>
      <w:numFmt w:val="decimal"/>
      <w:lvlText w:val="%1."/>
      <w:lvlJc w:val="left"/>
      <w:pPr>
        <w:tabs>
          <w:tab w:val="num" w:pos="360"/>
        </w:tabs>
        <w:ind w:left="360" w:hanging="360"/>
      </w:pPr>
      <w:rPr>
        <w:rFonts w:hint="default"/>
      </w:rPr>
    </w:lvl>
  </w:abstractNum>
  <w:abstractNum w:abstractNumId="3" w15:restartNumberingAfterBreak="0">
    <w:nsid w:val="08362B53"/>
    <w:multiLevelType w:val="hybridMultilevel"/>
    <w:tmpl w:val="9BA6BB06"/>
    <w:lvl w:ilvl="0" w:tplc="74AEC938">
      <w:start w:val="1"/>
      <w:numFmt w:val="bullet"/>
      <w:lvlText w:val=""/>
      <w:lvlJc w:val="left"/>
      <w:pPr>
        <w:ind w:left="1440" w:hanging="360"/>
      </w:pPr>
      <w:rPr>
        <w:rFonts w:ascii="Symbol" w:hAnsi="Symbol" w:hint="default"/>
      </w:rPr>
    </w:lvl>
    <w:lvl w:ilvl="1" w:tplc="E07A2E48" w:tentative="1">
      <w:start w:val="1"/>
      <w:numFmt w:val="bullet"/>
      <w:lvlText w:val="o"/>
      <w:lvlJc w:val="left"/>
      <w:pPr>
        <w:ind w:left="2160" w:hanging="360"/>
      </w:pPr>
      <w:rPr>
        <w:rFonts w:ascii="Courier New" w:hAnsi="Courier New" w:cs="Courier New" w:hint="default"/>
      </w:rPr>
    </w:lvl>
    <w:lvl w:ilvl="2" w:tplc="F0465188" w:tentative="1">
      <w:start w:val="1"/>
      <w:numFmt w:val="bullet"/>
      <w:lvlText w:val=""/>
      <w:lvlJc w:val="left"/>
      <w:pPr>
        <w:ind w:left="2880" w:hanging="360"/>
      </w:pPr>
      <w:rPr>
        <w:rFonts w:ascii="Wingdings" w:hAnsi="Wingdings" w:hint="default"/>
      </w:rPr>
    </w:lvl>
    <w:lvl w:ilvl="3" w:tplc="3626C7A6" w:tentative="1">
      <w:start w:val="1"/>
      <w:numFmt w:val="bullet"/>
      <w:lvlText w:val=""/>
      <w:lvlJc w:val="left"/>
      <w:pPr>
        <w:ind w:left="3600" w:hanging="360"/>
      </w:pPr>
      <w:rPr>
        <w:rFonts w:ascii="Symbol" w:hAnsi="Symbol" w:hint="default"/>
      </w:rPr>
    </w:lvl>
    <w:lvl w:ilvl="4" w:tplc="E0B8A578" w:tentative="1">
      <w:start w:val="1"/>
      <w:numFmt w:val="bullet"/>
      <w:lvlText w:val="o"/>
      <w:lvlJc w:val="left"/>
      <w:pPr>
        <w:ind w:left="4320" w:hanging="360"/>
      </w:pPr>
      <w:rPr>
        <w:rFonts w:ascii="Courier New" w:hAnsi="Courier New" w:cs="Courier New" w:hint="default"/>
      </w:rPr>
    </w:lvl>
    <w:lvl w:ilvl="5" w:tplc="81F8734C" w:tentative="1">
      <w:start w:val="1"/>
      <w:numFmt w:val="bullet"/>
      <w:lvlText w:val=""/>
      <w:lvlJc w:val="left"/>
      <w:pPr>
        <w:ind w:left="5040" w:hanging="360"/>
      </w:pPr>
      <w:rPr>
        <w:rFonts w:ascii="Wingdings" w:hAnsi="Wingdings" w:hint="default"/>
      </w:rPr>
    </w:lvl>
    <w:lvl w:ilvl="6" w:tplc="A470EE96" w:tentative="1">
      <w:start w:val="1"/>
      <w:numFmt w:val="bullet"/>
      <w:lvlText w:val=""/>
      <w:lvlJc w:val="left"/>
      <w:pPr>
        <w:ind w:left="5760" w:hanging="360"/>
      </w:pPr>
      <w:rPr>
        <w:rFonts w:ascii="Symbol" w:hAnsi="Symbol" w:hint="default"/>
      </w:rPr>
    </w:lvl>
    <w:lvl w:ilvl="7" w:tplc="A4BE7936" w:tentative="1">
      <w:start w:val="1"/>
      <w:numFmt w:val="bullet"/>
      <w:lvlText w:val="o"/>
      <w:lvlJc w:val="left"/>
      <w:pPr>
        <w:ind w:left="6480" w:hanging="360"/>
      </w:pPr>
      <w:rPr>
        <w:rFonts w:ascii="Courier New" w:hAnsi="Courier New" w:cs="Courier New" w:hint="default"/>
      </w:rPr>
    </w:lvl>
    <w:lvl w:ilvl="8" w:tplc="A29CDB6A" w:tentative="1">
      <w:start w:val="1"/>
      <w:numFmt w:val="bullet"/>
      <w:lvlText w:val=""/>
      <w:lvlJc w:val="left"/>
      <w:pPr>
        <w:ind w:left="7200" w:hanging="360"/>
      </w:pPr>
      <w:rPr>
        <w:rFonts w:ascii="Wingdings" w:hAnsi="Wingdings" w:hint="default"/>
      </w:rPr>
    </w:lvl>
  </w:abstractNum>
  <w:abstractNum w:abstractNumId="4" w15:restartNumberingAfterBreak="0">
    <w:nsid w:val="0DF77E76"/>
    <w:multiLevelType w:val="hybridMultilevel"/>
    <w:tmpl w:val="BA84FC42"/>
    <w:lvl w:ilvl="0" w:tplc="4EC658B2">
      <w:numFmt w:val="bullet"/>
      <w:lvlText w:val="-"/>
      <w:lvlJc w:val="left"/>
      <w:pPr>
        <w:ind w:left="720" w:hanging="360"/>
      </w:pPr>
      <w:rPr>
        <w:rFonts w:ascii="Times New Roman" w:eastAsia="Calibri" w:hAnsi="Times New Roman" w:cs="Times New Roman" w:hint="default"/>
      </w:rPr>
    </w:lvl>
    <w:lvl w:ilvl="1" w:tplc="1974CF16">
      <w:start w:val="1"/>
      <w:numFmt w:val="bullet"/>
      <w:lvlText w:val="o"/>
      <w:lvlJc w:val="left"/>
      <w:pPr>
        <w:ind w:left="1440" w:hanging="360"/>
      </w:pPr>
      <w:rPr>
        <w:rFonts w:ascii="Courier New" w:hAnsi="Courier New" w:cs="Courier New" w:hint="default"/>
      </w:rPr>
    </w:lvl>
    <w:lvl w:ilvl="2" w:tplc="124EB3E4" w:tentative="1">
      <w:start w:val="1"/>
      <w:numFmt w:val="bullet"/>
      <w:lvlText w:val=""/>
      <w:lvlJc w:val="left"/>
      <w:pPr>
        <w:ind w:left="2160" w:hanging="360"/>
      </w:pPr>
      <w:rPr>
        <w:rFonts w:ascii="Wingdings" w:hAnsi="Wingdings" w:hint="default"/>
      </w:rPr>
    </w:lvl>
    <w:lvl w:ilvl="3" w:tplc="A11AF538" w:tentative="1">
      <w:start w:val="1"/>
      <w:numFmt w:val="bullet"/>
      <w:lvlText w:val=""/>
      <w:lvlJc w:val="left"/>
      <w:pPr>
        <w:ind w:left="2880" w:hanging="360"/>
      </w:pPr>
      <w:rPr>
        <w:rFonts w:ascii="Symbol" w:hAnsi="Symbol" w:hint="default"/>
      </w:rPr>
    </w:lvl>
    <w:lvl w:ilvl="4" w:tplc="309C239C" w:tentative="1">
      <w:start w:val="1"/>
      <w:numFmt w:val="bullet"/>
      <w:lvlText w:val="o"/>
      <w:lvlJc w:val="left"/>
      <w:pPr>
        <w:ind w:left="3600" w:hanging="360"/>
      </w:pPr>
      <w:rPr>
        <w:rFonts w:ascii="Courier New" w:hAnsi="Courier New" w:cs="Courier New" w:hint="default"/>
      </w:rPr>
    </w:lvl>
    <w:lvl w:ilvl="5" w:tplc="76E21B94" w:tentative="1">
      <w:start w:val="1"/>
      <w:numFmt w:val="bullet"/>
      <w:lvlText w:val=""/>
      <w:lvlJc w:val="left"/>
      <w:pPr>
        <w:ind w:left="4320" w:hanging="360"/>
      </w:pPr>
      <w:rPr>
        <w:rFonts w:ascii="Wingdings" w:hAnsi="Wingdings" w:hint="default"/>
      </w:rPr>
    </w:lvl>
    <w:lvl w:ilvl="6" w:tplc="6268ACA0" w:tentative="1">
      <w:start w:val="1"/>
      <w:numFmt w:val="bullet"/>
      <w:lvlText w:val=""/>
      <w:lvlJc w:val="left"/>
      <w:pPr>
        <w:ind w:left="5040" w:hanging="360"/>
      </w:pPr>
      <w:rPr>
        <w:rFonts w:ascii="Symbol" w:hAnsi="Symbol" w:hint="default"/>
      </w:rPr>
    </w:lvl>
    <w:lvl w:ilvl="7" w:tplc="096E2748" w:tentative="1">
      <w:start w:val="1"/>
      <w:numFmt w:val="bullet"/>
      <w:lvlText w:val="o"/>
      <w:lvlJc w:val="left"/>
      <w:pPr>
        <w:ind w:left="5760" w:hanging="360"/>
      </w:pPr>
      <w:rPr>
        <w:rFonts w:ascii="Courier New" w:hAnsi="Courier New" w:cs="Courier New" w:hint="default"/>
      </w:rPr>
    </w:lvl>
    <w:lvl w:ilvl="8" w:tplc="7A323F56" w:tentative="1">
      <w:start w:val="1"/>
      <w:numFmt w:val="bullet"/>
      <w:lvlText w:val=""/>
      <w:lvlJc w:val="left"/>
      <w:pPr>
        <w:ind w:left="6480" w:hanging="360"/>
      </w:pPr>
      <w:rPr>
        <w:rFonts w:ascii="Wingdings" w:hAnsi="Wingdings" w:hint="default"/>
      </w:rPr>
    </w:lvl>
  </w:abstractNum>
  <w:abstractNum w:abstractNumId="5" w15:restartNumberingAfterBreak="0">
    <w:nsid w:val="10960267"/>
    <w:multiLevelType w:val="multilevel"/>
    <w:tmpl w:val="BEA69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D3504"/>
    <w:multiLevelType w:val="hybridMultilevel"/>
    <w:tmpl w:val="22A0BC90"/>
    <w:lvl w:ilvl="0" w:tplc="2B026FC8">
      <w:start w:val="1"/>
      <w:numFmt w:val="bullet"/>
      <w:lvlText w:val=""/>
      <w:lvlJc w:val="left"/>
      <w:pPr>
        <w:tabs>
          <w:tab w:val="num" w:pos="720"/>
        </w:tabs>
        <w:ind w:left="720" w:hanging="360"/>
      </w:pPr>
      <w:rPr>
        <w:rFonts w:ascii="Symbol" w:hAnsi="Symbol" w:hint="default"/>
      </w:rPr>
    </w:lvl>
    <w:lvl w:ilvl="1" w:tplc="E51024F4" w:tentative="1">
      <w:start w:val="1"/>
      <w:numFmt w:val="bullet"/>
      <w:lvlText w:val="o"/>
      <w:lvlJc w:val="left"/>
      <w:pPr>
        <w:tabs>
          <w:tab w:val="num" w:pos="1440"/>
        </w:tabs>
        <w:ind w:left="1440" w:hanging="360"/>
      </w:pPr>
      <w:rPr>
        <w:rFonts w:ascii="Courier New" w:hAnsi="Courier New" w:cs="Courier New" w:hint="default"/>
      </w:rPr>
    </w:lvl>
    <w:lvl w:ilvl="2" w:tplc="1E5280DE" w:tentative="1">
      <w:start w:val="1"/>
      <w:numFmt w:val="bullet"/>
      <w:lvlText w:val=""/>
      <w:lvlJc w:val="left"/>
      <w:pPr>
        <w:tabs>
          <w:tab w:val="num" w:pos="2160"/>
        </w:tabs>
        <w:ind w:left="2160" w:hanging="360"/>
      </w:pPr>
      <w:rPr>
        <w:rFonts w:ascii="Wingdings" w:hAnsi="Wingdings" w:hint="default"/>
      </w:rPr>
    </w:lvl>
    <w:lvl w:ilvl="3" w:tplc="52B417FC" w:tentative="1">
      <w:start w:val="1"/>
      <w:numFmt w:val="bullet"/>
      <w:lvlText w:val=""/>
      <w:lvlJc w:val="left"/>
      <w:pPr>
        <w:tabs>
          <w:tab w:val="num" w:pos="2880"/>
        </w:tabs>
        <w:ind w:left="2880" w:hanging="360"/>
      </w:pPr>
      <w:rPr>
        <w:rFonts w:ascii="Symbol" w:hAnsi="Symbol" w:hint="default"/>
      </w:rPr>
    </w:lvl>
    <w:lvl w:ilvl="4" w:tplc="74FEA01C" w:tentative="1">
      <w:start w:val="1"/>
      <w:numFmt w:val="bullet"/>
      <w:lvlText w:val="o"/>
      <w:lvlJc w:val="left"/>
      <w:pPr>
        <w:tabs>
          <w:tab w:val="num" w:pos="3600"/>
        </w:tabs>
        <w:ind w:left="3600" w:hanging="360"/>
      </w:pPr>
      <w:rPr>
        <w:rFonts w:ascii="Courier New" w:hAnsi="Courier New" w:cs="Courier New" w:hint="default"/>
      </w:rPr>
    </w:lvl>
    <w:lvl w:ilvl="5" w:tplc="EABA6E26" w:tentative="1">
      <w:start w:val="1"/>
      <w:numFmt w:val="bullet"/>
      <w:lvlText w:val=""/>
      <w:lvlJc w:val="left"/>
      <w:pPr>
        <w:tabs>
          <w:tab w:val="num" w:pos="4320"/>
        </w:tabs>
        <w:ind w:left="4320" w:hanging="360"/>
      </w:pPr>
      <w:rPr>
        <w:rFonts w:ascii="Wingdings" w:hAnsi="Wingdings" w:hint="default"/>
      </w:rPr>
    </w:lvl>
    <w:lvl w:ilvl="6" w:tplc="24D45058" w:tentative="1">
      <w:start w:val="1"/>
      <w:numFmt w:val="bullet"/>
      <w:lvlText w:val=""/>
      <w:lvlJc w:val="left"/>
      <w:pPr>
        <w:tabs>
          <w:tab w:val="num" w:pos="5040"/>
        </w:tabs>
        <w:ind w:left="5040" w:hanging="360"/>
      </w:pPr>
      <w:rPr>
        <w:rFonts w:ascii="Symbol" w:hAnsi="Symbol" w:hint="default"/>
      </w:rPr>
    </w:lvl>
    <w:lvl w:ilvl="7" w:tplc="A1082DDA" w:tentative="1">
      <w:start w:val="1"/>
      <w:numFmt w:val="bullet"/>
      <w:lvlText w:val="o"/>
      <w:lvlJc w:val="left"/>
      <w:pPr>
        <w:tabs>
          <w:tab w:val="num" w:pos="5760"/>
        </w:tabs>
        <w:ind w:left="5760" w:hanging="360"/>
      </w:pPr>
      <w:rPr>
        <w:rFonts w:ascii="Courier New" w:hAnsi="Courier New" w:cs="Courier New" w:hint="default"/>
      </w:rPr>
    </w:lvl>
    <w:lvl w:ilvl="8" w:tplc="6088BA9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8E49DF"/>
    <w:multiLevelType w:val="hybridMultilevel"/>
    <w:tmpl w:val="8BA84594"/>
    <w:lvl w:ilvl="0" w:tplc="8CE4A596">
      <w:start w:val="1"/>
      <w:numFmt w:val="decimal"/>
      <w:lvlText w:val="%1."/>
      <w:lvlJc w:val="left"/>
      <w:pPr>
        <w:tabs>
          <w:tab w:val="num" w:pos="720"/>
        </w:tabs>
        <w:ind w:left="720" w:hanging="360"/>
      </w:pPr>
      <w:rPr>
        <w:rFonts w:hint="default"/>
      </w:rPr>
    </w:lvl>
    <w:lvl w:ilvl="1" w:tplc="D78E12B8" w:tentative="1">
      <w:start w:val="1"/>
      <w:numFmt w:val="lowerLetter"/>
      <w:lvlText w:val="%2."/>
      <w:lvlJc w:val="left"/>
      <w:pPr>
        <w:tabs>
          <w:tab w:val="num" w:pos="1440"/>
        </w:tabs>
        <w:ind w:left="1440" w:hanging="360"/>
      </w:pPr>
    </w:lvl>
    <w:lvl w:ilvl="2" w:tplc="5FD6FCC8" w:tentative="1">
      <w:start w:val="1"/>
      <w:numFmt w:val="lowerRoman"/>
      <w:lvlText w:val="%3."/>
      <w:lvlJc w:val="right"/>
      <w:pPr>
        <w:tabs>
          <w:tab w:val="num" w:pos="2160"/>
        </w:tabs>
        <w:ind w:left="2160" w:hanging="180"/>
      </w:pPr>
    </w:lvl>
    <w:lvl w:ilvl="3" w:tplc="0EEE0C38" w:tentative="1">
      <w:start w:val="1"/>
      <w:numFmt w:val="decimal"/>
      <w:lvlText w:val="%4."/>
      <w:lvlJc w:val="left"/>
      <w:pPr>
        <w:tabs>
          <w:tab w:val="num" w:pos="2880"/>
        </w:tabs>
        <w:ind w:left="2880" w:hanging="360"/>
      </w:pPr>
    </w:lvl>
    <w:lvl w:ilvl="4" w:tplc="1CFC7530" w:tentative="1">
      <w:start w:val="1"/>
      <w:numFmt w:val="lowerLetter"/>
      <w:lvlText w:val="%5."/>
      <w:lvlJc w:val="left"/>
      <w:pPr>
        <w:tabs>
          <w:tab w:val="num" w:pos="3600"/>
        </w:tabs>
        <w:ind w:left="3600" w:hanging="360"/>
      </w:pPr>
    </w:lvl>
    <w:lvl w:ilvl="5" w:tplc="2ACC1E76" w:tentative="1">
      <w:start w:val="1"/>
      <w:numFmt w:val="lowerRoman"/>
      <w:lvlText w:val="%6."/>
      <w:lvlJc w:val="right"/>
      <w:pPr>
        <w:tabs>
          <w:tab w:val="num" w:pos="4320"/>
        </w:tabs>
        <w:ind w:left="4320" w:hanging="180"/>
      </w:pPr>
    </w:lvl>
    <w:lvl w:ilvl="6" w:tplc="20965CA2" w:tentative="1">
      <w:start w:val="1"/>
      <w:numFmt w:val="decimal"/>
      <w:lvlText w:val="%7."/>
      <w:lvlJc w:val="left"/>
      <w:pPr>
        <w:tabs>
          <w:tab w:val="num" w:pos="5040"/>
        </w:tabs>
        <w:ind w:left="5040" w:hanging="360"/>
      </w:pPr>
    </w:lvl>
    <w:lvl w:ilvl="7" w:tplc="384C43BA" w:tentative="1">
      <w:start w:val="1"/>
      <w:numFmt w:val="lowerLetter"/>
      <w:lvlText w:val="%8."/>
      <w:lvlJc w:val="left"/>
      <w:pPr>
        <w:tabs>
          <w:tab w:val="num" w:pos="5760"/>
        </w:tabs>
        <w:ind w:left="5760" w:hanging="360"/>
      </w:pPr>
    </w:lvl>
    <w:lvl w:ilvl="8" w:tplc="C788216C" w:tentative="1">
      <w:start w:val="1"/>
      <w:numFmt w:val="lowerRoman"/>
      <w:lvlText w:val="%9."/>
      <w:lvlJc w:val="right"/>
      <w:pPr>
        <w:tabs>
          <w:tab w:val="num" w:pos="6480"/>
        </w:tabs>
        <w:ind w:left="6480" w:hanging="180"/>
      </w:pPr>
    </w:lvl>
  </w:abstractNum>
  <w:abstractNum w:abstractNumId="8" w15:restartNumberingAfterBreak="0">
    <w:nsid w:val="1E990A33"/>
    <w:multiLevelType w:val="hybridMultilevel"/>
    <w:tmpl w:val="D2883186"/>
    <w:lvl w:ilvl="0" w:tplc="2B2ED292">
      <w:start w:val="1"/>
      <w:numFmt w:val="decimal"/>
      <w:lvlText w:val="%1."/>
      <w:lvlJc w:val="left"/>
      <w:pPr>
        <w:tabs>
          <w:tab w:val="num" w:pos="720"/>
        </w:tabs>
        <w:ind w:left="720" w:hanging="360"/>
      </w:pPr>
    </w:lvl>
    <w:lvl w:ilvl="1" w:tplc="EBEA311C" w:tentative="1">
      <w:start w:val="1"/>
      <w:numFmt w:val="lowerLetter"/>
      <w:lvlText w:val="%2."/>
      <w:lvlJc w:val="left"/>
      <w:pPr>
        <w:tabs>
          <w:tab w:val="num" w:pos="1440"/>
        </w:tabs>
        <w:ind w:left="1440" w:hanging="360"/>
      </w:pPr>
    </w:lvl>
    <w:lvl w:ilvl="2" w:tplc="48EC0982" w:tentative="1">
      <w:start w:val="1"/>
      <w:numFmt w:val="lowerRoman"/>
      <w:lvlText w:val="%3."/>
      <w:lvlJc w:val="right"/>
      <w:pPr>
        <w:tabs>
          <w:tab w:val="num" w:pos="2160"/>
        </w:tabs>
        <w:ind w:left="2160" w:hanging="180"/>
      </w:pPr>
    </w:lvl>
    <w:lvl w:ilvl="3" w:tplc="088ADE16" w:tentative="1">
      <w:start w:val="1"/>
      <w:numFmt w:val="decimal"/>
      <w:lvlText w:val="%4."/>
      <w:lvlJc w:val="left"/>
      <w:pPr>
        <w:tabs>
          <w:tab w:val="num" w:pos="2880"/>
        </w:tabs>
        <w:ind w:left="2880" w:hanging="360"/>
      </w:pPr>
    </w:lvl>
    <w:lvl w:ilvl="4" w:tplc="6E60C916" w:tentative="1">
      <w:start w:val="1"/>
      <w:numFmt w:val="lowerLetter"/>
      <w:lvlText w:val="%5."/>
      <w:lvlJc w:val="left"/>
      <w:pPr>
        <w:tabs>
          <w:tab w:val="num" w:pos="3600"/>
        </w:tabs>
        <w:ind w:left="3600" w:hanging="360"/>
      </w:pPr>
    </w:lvl>
    <w:lvl w:ilvl="5" w:tplc="D3F61508" w:tentative="1">
      <w:start w:val="1"/>
      <w:numFmt w:val="lowerRoman"/>
      <w:lvlText w:val="%6."/>
      <w:lvlJc w:val="right"/>
      <w:pPr>
        <w:tabs>
          <w:tab w:val="num" w:pos="4320"/>
        </w:tabs>
        <w:ind w:left="4320" w:hanging="180"/>
      </w:pPr>
    </w:lvl>
    <w:lvl w:ilvl="6" w:tplc="275E87B8" w:tentative="1">
      <w:start w:val="1"/>
      <w:numFmt w:val="decimal"/>
      <w:lvlText w:val="%7."/>
      <w:lvlJc w:val="left"/>
      <w:pPr>
        <w:tabs>
          <w:tab w:val="num" w:pos="5040"/>
        </w:tabs>
        <w:ind w:left="5040" w:hanging="360"/>
      </w:pPr>
    </w:lvl>
    <w:lvl w:ilvl="7" w:tplc="00344B56" w:tentative="1">
      <w:start w:val="1"/>
      <w:numFmt w:val="lowerLetter"/>
      <w:lvlText w:val="%8."/>
      <w:lvlJc w:val="left"/>
      <w:pPr>
        <w:tabs>
          <w:tab w:val="num" w:pos="5760"/>
        </w:tabs>
        <w:ind w:left="5760" w:hanging="360"/>
      </w:pPr>
    </w:lvl>
    <w:lvl w:ilvl="8" w:tplc="82B0FD34" w:tentative="1">
      <w:start w:val="1"/>
      <w:numFmt w:val="lowerRoman"/>
      <w:lvlText w:val="%9."/>
      <w:lvlJc w:val="right"/>
      <w:pPr>
        <w:tabs>
          <w:tab w:val="num" w:pos="6480"/>
        </w:tabs>
        <w:ind w:left="6480" w:hanging="180"/>
      </w:pPr>
    </w:lvl>
  </w:abstractNum>
  <w:abstractNum w:abstractNumId="9" w15:restartNumberingAfterBreak="0">
    <w:nsid w:val="21877C76"/>
    <w:multiLevelType w:val="multilevel"/>
    <w:tmpl w:val="1B388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B615F"/>
    <w:multiLevelType w:val="hybridMultilevel"/>
    <w:tmpl w:val="25B29260"/>
    <w:lvl w:ilvl="0" w:tplc="4028AFD8">
      <w:start w:val="1"/>
      <w:numFmt w:val="bullet"/>
      <w:lvlText w:val=""/>
      <w:lvlJc w:val="left"/>
      <w:pPr>
        <w:tabs>
          <w:tab w:val="num" w:pos="720"/>
        </w:tabs>
        <w:ind w:left="720" w:hanging="360"/>
      </w:pPr>
      <w:rPr>
        <w:rFonts w:ascii="Symbol" w:hAnsi="Symbol" w:hint="default"/>
        <w:sz w:val="28"/>
      </w:rPr>
    </w:lvl>
    <w:lvl w:ilvl="1" w:tplc="6310F904" w:tentative="1">
      <w:start w:val="1"/>
      <w:numFmt w:val="bullet"/>
      <w:lvlText w:val="o"/>
      <w:lvlJc w:val="left"/>
      <w:pPr>
        <w:tabs>
          <w:tab w:val="num" w:pos="1800"/>
        </w:tabs>
        <w:ind w:left="1800" w:hanging="360"/>
      </w:pPr>
      <w:rPr>
        <w:rFonts w:ascii="Courier New" w:hAnsi="Courier New" w:cs="Courier New" w:hint="default"/>
      </w:rPr>
    </w:lvl>
    <w:lvl w:ilvl="2" w:tplc="AD02C3CC" w:tentative="1">
      <w:start w:val="1"/>
      <w:numFmt w:val="bullet"/>
      <w:lvlText w:val=""/>
      <w:lvlJc w:val="left"/>
      <w:pPr>
        <w:tabs>
          <w:tab w:val="num" w:pos="2520"/>
        </w:tabs>
        <w:ind w:left="2520" w:hanging="360"/>
      </w:pPr>
      <w:rPr>
        <w:rFonts w:ascii="Wingdings" w:hAnsi="Wingdings" w:hint="default"/>
      </w:rPr>
    </w:lvl>
    <w:lvl w:ilvl="3" w:tplc="E962E2D0" w:tentative="1">
      <w:start w:val="1"/>
      <w:numFmt w:val="bullet"/>
      <w:lvlText w:val=""/>
      <w:lvlJc w:val="left"/>
      <w:pPr>
        <w:tabs>
          <w:tab w:val="num" w:pos="3240"/>
        </w:tabs>
        <w:ind w:left="3240" w:hanging="360"/>
      </w:pPr>
      <w:rPr>
        <w:rFonts w:ascii="Symbol" w:hAnsi="Symbol" w:hint="default"/>
      </w:rPr>
    </w:lvl>
    <w:lvl w:ilvl="4" w:tplc="E78A1524" w:tentative="1">
      <w:start w:val="1"/>
      <w:numFmt w:val="bullet"/>
      <w:lvlText w:val="o"/>
      <w:lvlJc w:val="left"/>
      <w:pPr>
        <w:tabs>
          <w:tab w:val="num" w:pos="3960"/>
        </w:tabs>
        <w:ind w:left="3960" w:hanging="360"/>
      </w:pPr>
      <w:rPr>
        <w:rFonts w:ascii="Courier New" w:hAnsi="Courier New" w:cs="Courier New" w:hint="default"/>
      </w:rPr>
    </w:lvl>
    <w:lvl w:ilvl="5" w:tplc="62526A5E" w:tentative="1">
      <w:start w:val="1"/>
      <w:numFmt w:val="bullet"/>
      <w:lvlText w:val=""/>
      <w:lvlJc w:val="left"/>
      <w:pPr>
        <w:tabs>
          <w:tab w:val="num" w:pos="4680"/>
        </w:tabs>
        <w:ind w:left="4680" w:hanging="360"/>
      </w:pPr>
      <w:rPr>
        <w:rFonts w:ascii="Wingdings" w:hAnsi="Wingdings" w:hint="default"/>
      </w:rPr>
    </w:lvl>
    <w:lvl w:ilvl="6" w:tplc="F416B888" w:tentative="1">
      <w:start w:val="1"/>
      <w:numFmt w:val="bullet"/>
      <w:lvlText w:val=""/>
      <w:lvlJc w:val="left"/>
      <w:pPr>
        <w:tabs>
          <w:tab w:val="num" w:pos="5400"/>
        </w:tabs>
        <w:ind w:left="5400" w:hanging="360"/>
      </w:pPr>
      <w:rPr>
        <w:rFonts w:ascii="Symbol" w:hAnsi="Symbol" w:hint="default"/>
      </w:rPr>
    </w:lvl>
    <w:lvl w:ilvl="7" w:tplc="C1D80460" w:tentative="1">
      <w:start w:val="1"/>
      <w:numFmt w:val="bullet"/>
      <w:lvlText w:val="o"/>
      <w:lvlJc w:val="left"/>
      <w:pPr>
        <w:tabs>
          <w:tab w:val="num" w:pos="6120"/>
        </w:tabs>
        <w:ind w:left="6120" w:hanging="360"/>
      </w:pPr>
      <w:rPr>
        <w:rFonts w:ascii="Courier New" w:hAnsi="Courier New" w:cs="Courier New" w:hint="default"/>
      </w:rPr>
    </w:lvl>
    <w:lvl w:ilvl="8" w:tplc="58926C30"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EC756A9"/>
    <w:multiLevelType w:val="hybridMultilevel"/>
    <w:tmpl w:val="C188F65A"/>
    <w:lvl w:ilvl="0" w:tplc="EF484DBA">
      <w:numFmt w:val="bullet"/>
      <w:lvlText w:val="-"/>
      <w:lvlJc w:val="left"/>
      <w:pPr>
        <w:ind w:left="720" w:hanging="360"/>
      </w:pPr>
      <w:rPr>
        <w:rFonts w:ascii="Times New Roman" w:eastAsia="Calibri" w:hAnsi="Times New Roman" w:cs="Times New Roman" w:hint="default"/>
      </w:rPr>
    </w:lvl>
    <w:lvl w:ilvl="1" w:tplc="2DC2F4E2" w:tentative="1">
      <w:start w:val="1"/>
      <w:numFmt w:val="bullet"/>
      <w:lvlText w:val="o"/>
      <w:lvlJc w:val="left"/>
      <w:pPr>
        <w:ind w:left="1440" w:hanging="360"/>
      </w:pPr>
      <w:rPr>
        <w:rFonts w:ascii="Courier New" w:hAnsi="Courier New" w:cs="Courier New" w:hint="default"/>
      </w:rPr>
    </w:lvl>
    <w:lvl w:ilvl="2" w:tplc="05304942" w:tentative="1">
      <w:start w:val="1"/>
      <w:numFmt w:val="bullet"/>
      <w:lvlText w:val=""/>
      <w:lvlJc w:val="left"/>
      <w:pPr>
        <w:ind w:left="2160" w:hanging="360"/>
      </w:pPr>
      <w:rPr>
        <w:rFonts w:ascii="Wingdings" w:hAnsi="Wingdings" w:hint="default"/>
      </w:rPr>
    </w:lvl>
    <w:lvl w:ilvl="3" w:tplc="EE06020C" w:tentative="1">
      <w:start w:val="1"/>
      <w:numFmt w:val="bullet"/>
      <w:lvlText w:val=""/>
      <w:lvlJc w:val="left"/>
      <w:pPr>
        <w:ind w:left="2880" w:hanging="360"/>
      </w:pPr>
      <w:rPr>
        <w:rFonts w:ascii="Symbol" w:hAnsi="Symbol" w:hint="default"/>
      </w:rPr>
    </w:lvl>
    <w:lvl w:ilvl="4" w:tplc="0008994A" w:tentative="1">
      <w:start w:val="1"/>
      <w:numFmt w:val="bullet"/>
      <w:lvlText w:val="o"/>
      <w:lvlJc w:val="left"/>
      <w:pPr>
        <w:ind w:left="3600" w:hanging="360"/>
      </w:pPr>
      <w:rPr>
        <w:rFonts w:ascii="Courier New" w:hAnsi="Courier New" w:cs="Courier New" w:hint="default"/>
      </w:rPr>
    </w:lvl>
    <w:lvl w:ilvl="5" w:tplc="2682AC9A" w:tentative="1">
      <w:start w:val="1"/>
      <w:numFmt w:val="bullet"/>
      <w:lvlText w:val=""/>
      <w:lvlJc w:val="left"/>
      <w:pPr>
        <w:ind w:left="4320" w:hanging="360"/>
      </w:pPr>
      <w:rPr>
        <w:rFonts w:ascii="Wingdings" w:hAnsi="Wingdings" w:hint="default"/>
      </w:rPr>
    </w:lvl>
    <w:lvl w:ilvl="6" w:tplc="2F3EDEB0" w:tentative="1">
      <w:start w:val="1"/>
      <w:numFmt w:val="bullet"/>
      <w:lvlText w:val=""/>
      <w:lvlJc w:val="left"/>
      <w:pPr>
        <w:ind w:left="5040" w:hanging="360"/>
      </w:pPr>
      <w:rPr>
        <w:rFonts w:ascii="Symbol" w:hAnsi="Symbol" w:hint="default"/>
      </w:rPr>
    </w:lvl>
    <w:lvl w:ilvl="7" w:tplc="A73A0274" w:tentative="1">
      <w:start w:val="1"/>
      <w:numFmt w:val="bullet"/>
      <w:lvlText w:val="o"/>
      <w:lvlJc w:val="left"/>
      <w:pPr>
        <w:ind w:left="5760" w:hanging="360"/>
      </w:pPr>
      <w:rPr>
        <w:rFonts w:ascii="Courier New" w:hAnsi="Courier New" w:cs="Courier New" w:hint="default"/>
      </w:rPr>
    </w:lvl>
    <w:lvl w:ilvl="8" w:tplc="602CD7E0" w:tentative="1">
      <w:start w:val="1"/>
      <w:numFmt w:val="bullet"/>
      <w:lvlText w:val=""/>
      <w:lvlJc w:val="left"/>
      <w:pPr>
        <w:ind w:left="6480" w:hanging="360"/>
      </w:pPr>
      <w:rPr>
        <w:rFonts w:ascii="Wingdings" w:hAnsi="Wingdings" w:hint="default"/>
      </w:rPr>
    </w:lvl>
  </w:abstractNum>
  <w:abstractNum w:abstractNumId="12" w15:restartNumberingAfterBreak="0">
    <w:nsid w:val="362B51DB"/>
    <w:multiLevelType w:val="hybridMultilevel"/>
    <w:tmpl w:val="252C7F8E"/>
    <w:lvl w:ilvl="0" w:tplc="64F2ECF8">
      <w:start w:val="1"/>
      <w:numFmt w:val="bullet"/>
      <w:lvlText w:val=""/>
      <w:lvlJc w:val="left"/>
      <w:pPr>
        <w:tabs>
          <w:tab w:val="num" w:pos="720"/>
        </w:tabs>
        <w:ind w:left="720" w:hanging="360"/>
      </w:pPr>
      <w:rPr>
        <w:rFonts w:ascii="Symbol" w:hAnsi="Symbol" w:hint="default"/>
      </w:rPr>
    </w:lvl>
    <w:lvl w:ilvl="1" w:tplc="ADE48230" w:tentative="1">
      <w:start w:val="1"/>
      <w:numFmt w:val="bullet"/>
      <w:lvlText w:val="o"/>
      <w:lvlJc w:val="left"/>
      <w:pPr>
        <w:tabs>
          <w:tab w:val="num" w:pos="1440"/>
        </w:tabs>
        <w:ind w:left="1440" w:hanging="360"/>
      </w:pPr>
      <w:rPr>
        <w:rFonts w:ascii="Courier New" w:hAnsi="Courier New" w:cs="Courier New" w:hint="default"/>
      </w:rPr>
    </w:lvl>
    <w:lvl w:ilvl="2" w:tplc="C9E87076" w:tentative="1">
      <w:start w:val="1"/>
      <w:numFmt w:val="bullet"/>
      <w:lvlText w:val=""/>
      <w:lvlJc w:val="left"/>
      <w:pPr>
        <w:tabs>
          <w:tab w:val="num" w:pos="2160"/>
        </w:tabs>
        <w:ind w:left="2160" w:hanging="360"/>
      </w:pPr>
      <w:rPr>
        <w:rFonts w:ascii="Wingdings" w:hAnsi="Wingdings" w:hint="default"/>
      </w:rPr>
    </w:lvl>
    <w:lvl w:ilvl="3" w:tplc="DFDC8716" w:tentative="1">
      <w:start w:val="1"/>
      <w:numFmt w:val="bullet"/>
      <w:lvlText w:val=""/>
      <w:lvlJc w:val="left"/>
      <w:pPr>
        <w:tabs>
          <w:tab w:val="num" w:pos="2880"/>
        </w:tabs>
        <w:ind w:left="2880" w:hanging="360"/>
      </w:pPr>
      <w:rPr>
        <w:rFonts w:ascii="Symbol" w:hAnsi="Symbol" w:hint="default"/>
      </w:rPr>
    </w:lvl>
    <w:lvl w:ilvl="4" w:tplc="E6222CAC" w:tentative="1">
      <w:start w:val="1"/>
      <w:numFmt w:val="bullet"/>
      <w:lvlText w:val="o"/>
      <w:lvlJc w:val="left"/>
      <w:pPr>
        <w:tabs>
          <w:tab w:val="num" w:pos="3600"/>
        </w:tabs>
        <w:ind w:left="3600" w:hanging="360"/>
      </w:pPr>
      <w:rPr>
        <w:rFonts w:ascii="Courier New" w:hAnsi="Courier New" w:cs="Courier New" w:hint="default"/>
      </w:rPr>
    </w:lvl>
    <w:lvl w:ilvl="5" w:tplc="5002F2DC" w:tentative="1">
      <w:start w:val="1"/>
      <w:numFmt w:val="bullet"/>
      <w:lvlText w:val=""/>
      <w:lvlJc w:val="left"/>
      <w:pPr>
        <w:tabs>
          <w:tab w:val="num" w:pos="4320"/>
        </w:tabs>
        <w:ind w:left="4320" w:hanging="360"/>
      </w:pPr>
      <w:rPr>
        <w:rFonts w:ascii="Wingdings" w:hAnsi="Wingdings" w:hint="default"/>
      </w:rPr>
    </w:lvl>
    <w:lvl w:ilvl="6" w:tplc="9014B39A" w:tentative="1">
      <w:start w:val="1"/>
      <w:numFmt w:val="bullet"/>
      <w:lvlText w:val=""/>
      <w:lvlJc w:val="left"/>
      <w:pPr>
        <w:tabs>
          <w:tab w:val="num" w:pos="5040"/>
        </w:tabs>
        <w:ind w:left="5040" w:hanging="360"/>
      </w:pPr>
      <w:rPr>
        <w:rFonts w:ascii="Symbol" w:hAnsi="Symbol" w:hint="default"/>
      </w:rPr>
    </w:lvl>
    <w:lvl w:ilvl="7" w:tplc="9A28624E" w:tentative="1">
      <w:start w:val="1"/>
      <w:numFmt w:val="bullet"/>
      <w:lvlText w:val="o"/>
      <w:lvlJc w:val="left"/>
      <w:pPr>
        <w:tabs>
          <w:tab w:val="num" w:pos="5760"/>
        </w:tabs>
        <w:ind w:left="5760" w:hanging="360"/>
      </w:pPr>
      <w:rPr>
        <w:rFonts w:ascii="Courier New" w:hAnsi="Courier New" w:cs="Courier New" w:hint="default"/>
      </w:rPr>
    </w:lvl>
    <w:lvl w:ilvl="8" w:tplc="E2BA8F8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746711"/>
    <w:multiLevelType w:val="hybridMultilevel"/>
    <w:tmpl w:val="718C988E"/>
    <w:lvl w:ilvl="0" w:tplc="394C7FCA">
      <w:numFmt w:val="bullet"/>
      <w:lvlText w:val="-"/>
      <w:lvlJc w:val="left"/>
      <w:pPr>
        <w:ind w:left="360" w:hanging="360"/>
      </w:pPr>
      <w:rPr>
        <w:rFonts w:ascii="Times New Roman" w:eastAsia="Calibri" w:hAnsi="Times New Roman" w:cs="Times New Roman" w:hint="default"/>
      </w:rPr>
    </w:lvl>
    <w:lvl w:ilvl="1" w:tplc="FC20FB54" w:tentative="1">
      <w:start w:val="1"/>
      <w:numFmt w:val="bullet"/>
      <w:lvlText w:val="o"/>
      <w:lvlJc w:val="left"/>
      <w:pPr>
        <w:ind w:left="1080" w:hanging="360"/>
      </w:pPr>
      <w:rPr>
        <w:rFonts w:ascii="Courier New" w:hAnsi="Courier New" w:cs="Courier New" w:hint="default"/>
      </w:rPr>
    </w:lvl>
    <w:lvl w:ilvl="2" w:tplc="5156D884" w:tentative="1">
      <w:start w:val="1"/>
      <w:numFmt w:val="bullet"/>
      <w:lvlText w:val=""/>
      <w:lvlJc w:val="left"/>
      <w:pPr>
        <w:ind w:left="1800" w:hanging="360"/>
      </w:pPr>
      <w:rPr>
        <w:rFonts w:ascii="Wingdings" w:hAnsi="Wingdings" w:hint="default"/>
      </w:rPr>
    </w:lvl>
    <w:lvl w:ilvl="3" w:tplc="F42AAC28" w:tentative="1">
      <w:start w:val="1"/>
      <w:numFmt w:val="bullet"/>
      <w:lvlText w:val=""/>
      <w:lvlJc w:val="left"/>
      <w:pPr>
        <w:ind w:left="2520" w:hanging="360"/>
      </w:pPr>
      <w:rPr>
        <w:rFonts w:ascii="Symbol" w:hAnsi="Symbol" w:hint="default"/>
      </w:rPr>
    </w:lvl>
    <w:lvl w:ilvl="4" w:tplc="0BE6E52E" w:tentative="1">
      <w:start w:val="1"/>
      <w:numFmt w:val="bullet"/>
      <w:lvlText w:val="o"/>
      <w:lvlJc w:val="left"/>
      <w:pPr>
        <w:ind w:left="3240" w:hanging="360"/>
      </w:pPr>
      <w:rPr>
        <w:rFonts w:ascii="Courier New" w:hAnsi="Courier New" w:cs="Courier New" w:hint="default"/>
      </w:rPr>
    </w:lvl>
    <w:lvl w:ilvl="5" w:tplc="ACC6CF9A" w:tentative="1">
      <w:start w:val="1"/>
      <w:numFmt w:val="bullet"/>
      <w:lvlText w:val=""/>
      <w:lvlJc w:val="left"/>
      <w:pPr>
        <w:ind w:left="3960" w:hanging="360"/>
      </w:pPr>
      <w:rPr>
        <w:rFonts w:ascii="Wingdings" w:hAnsi="Wingdings" w:hint="default"/>
      </w:rPr>
    </w:lvl>
    <w:lvl w:ilvl="6" w:tplc="EE9C80F0" w:tentative="1">
      <w:start w:val="1"/>
      <w:numFmt w:val="bullet"/>
      <w:lvlText w:val=""/>
      <w:lvlJc w:val="left"/>
      <w:pPr>
        <w:ind w:left="4680" w:hanging="360"/>
      </w:pPr>
      <w:rPr>
        <w:rFonts w:ascii="Symbol" w:hAnsi="Symbol" w:hint="default"/>
      </w:rPr>
    </w:lvl>
    <w:lvl w:ilvl="7" w:tplc="EB2C983A" w:tentative="1">
      <w:start w:val="1"/>
      <w:numFmt w:val="bullet"/>
      <w:lvlText w:val="o"/>
      <w:lvlJc w:val="left"/>
      <w:pPr>
        <w:ind w:left="5400" w:hanging="360"/>
      </w:pPr>
      <w:rPr>
        <w:rFonts w:ascii="Courier New" w:hAnsi="Courier New" w:cs="Courier New" w:hint="default"/>
      </w:rPr>
    </w:lvl>
    <w:lvl w:ilvl="8" w:tplc="731426A6" w:tentative="1">
      <w:start w:val="1"/>
      <w:numFmt w:val="bullet"/>
      <w:lvlText w:val=""/>
      <w:lvlJc w:val="left"/>
      <w:pPr>
        <w:ind w:left="6120" w:hanging="360"/>
      </w:pPr>
      <w:rPr>
        <w:rFonts w:ascii="Wingdings" w:hAnsi="Wingdings" w:hint="default"/>
      </w:rPr>
    </w:lvl>
  </w:abstractNum>
  <w:abstractNum w:abstractNumId="14" w15:restartNumberingAfterBreak="0">
    <w:nsid w:val="48CE5559"/>
    <w:multiLevelType w:val="hybridMultilevel"/>
    <w:tmpl w:val="1024B8F6"/>
    <w:lvl w:ilvl="0" w:tplc="EDC65760">
      <w:numFmt w:val="bullet"/>
      <w:lvlText w:val="-"/>
      <w:lvlJc w:val="left"/>
      <w:pPr>
        <w:ind w:left="720" w:hanging="360"/>
      </w:pPr>
      <w:rPr>
        <w:rFonts w:ascii="Times New Roman" w:eastAsia="Calibri" w:hAnsi="Times New Roman" w:cs="Times New Roman" w:hint="default"/>
      </w:rPr>
    </w:lvl>
    <w:lvl w:ilvl="1" w:tplc="4F28202C" w:tentative="1">
      <w:start w:val="1"/>
      <w:numFmt w:val="bullet"/>
      <w:lvlText w:val="o"/>
      <w:lvlJc w:val="left"/>
      <w:pPr>
        <w:ind w:left="1440" w:hanging="360"/>
      </w:pPr>
      <w:rPr>
        <w:rFonts w:ascii="Courier New" w:hAnsi="Courier New" w:cs="Courier New" w:hint="default"/>
      </w:rPr>
    </w:lvl>
    <w:lvl w:ilvl="2" w:tplc="C2B880C4" w:tentative="1">
      <w:start w:val="1"/>
      <w:numFmt w:val="bullet"/>
      <w:lvlText w:val=""/>
      <w:lvlJc w:val="left"/>
      <w:pPr>
        <w:ind w:left="2160" w:hanging="360"/>
      </w:pPr>
      <w:rPr>
        <w:rFonts w:ascii="Wingdings" w:hAnsi="Wingdings" w:hint="default"/>
      </w:rPr>
    </w:lvl>
    <w:lvl w:ilvl="3" w:tplc="4FFCC8CA" w:tentative="1">
      <w:start w:val="1"/>
      <w:numFmt w:val="bullet"/>
      <w:lvlText w:val=""/>
      <w:lvlJc w:val="left"/>
      <w:pPr>
        <w:ind w:left="2880" w:hanging="360"/>
      </w:pPr>
      <w:rPr>
        <w:rFonts w:ascii="Symbol" w:hAnsi="Symbol" w:hint="default"/>
      </w:rPr>
    </w:lvl>
    <w:lvl w:ilvl="4" w:tplc="726AF016" w:tentative="1">
      <w:start w:val="1"/>
      <w:numFmt w:val="bullet"/>
      <w:lvlText w:val="o"/>
      <w:lvlJc w:val="left"/>
      <w:pPr>
        <w:ind w:left="3600" w:hanging="360"/>
      </w:pPr>
      <w:rPr>
        <w:rFonts w:ascii="Courier New" w:hAnsi="Courier New" w:cs="Courier New" w:hint="default"/>
      </w:rPr>
    </w:lvl>
    <w:lvl w:ilvl="5" w:tplc="0BCE41C4" w:tentative="1">
      <w:start w:val="1"/>
      <w:numFmt w:val="bullet"/>
      <w:lvlText w:val=""/>
      <w:lvlJc w:val="left"/>
      <w:pPr>
        <w:ind w:left="4320" w:hanging="360"/>
      </w:pPr>
      <w:rPr>
        <w:rFonts w:ascii="Wingdings" w:hAnsi="Wingdings" w:hint="default"/>
      </w:rPr>
    </w:lvl>
    <w:lvl w:ilvl="6" w:tplc="56F8F28A" w:tentative="1">
      <w:start w:val="1"/>
      <w:numFmt w:val="bullet"/>
      <w:lvlText w:val=""/>
      <w:lvlJc w:val="left"/>
      <w:pPr>
        <w:ind w:left="5040" w:hanging="360"/>
      </w:pPr>
      <w:rPr>
        <w:rFonts w:ascii="Symbol" w:hAnsi="Symbol" w:hint="default"/>
      </w:rPr>
    </w:lvl>
    <w:lvl w:ilvl="7" w:tplc="2DB4A4DC" w:tentative="1">
      <w:start w:val="1"/>
      <w:numFmt w:val="bullet"/>
      <w:lvlText w:val="o"/>
      <w:lvlJc w:val="left"/>
      <w:pPr>
        <w:ind w:left="5760" w:hanging="360"/>
      </w:pPr>
      <w:rPr>
        <w:rFonts w:ascii="Courier New" w:hAnsi="Courier New" w:cs="Courier New" w:hint="default"/>
      </w:rPr>
    </w:lvl>
    <w:lvl w:ilvl="8" w:tplc="F6B66744" w:tentative="1">
      <w:start w:val="1"/>
      <w:numFmt w:val="bullet"/>
      <w:lvlText w:val=""/>
      <w:lvlJc w:val="left"/>
      <w:pPr>
        <w:ind w:left="6480" w:hanging="360"/>
      </w:pPr>
      <w:rPr>
        <w:rFonts w:ascii="Wingdings" w:hAnsi="Wingdings" w:hint="default"/>
      </w:rPr>
    </w:lvl>
  </w:abstractNum>
  <w:abstractNum w:abstractNumId="15" w15:restartNumberingAfterBreak="0">
    <w:nsid w:val="57872AD1"/>
    <w:multiLevelType w:val="hybridMultilevel"/>
    <w:tmpl w:val="9E34AADC"/>
    <w:lvl w:ilvl="0" w:tplc="FACE5BC2">
      <w:start w:val="1"/>
      <w:numFmt w:val="bullet"/>
      <w:lvlText w:val=""/>
      <w:lvlJc w:val="left"/>
      <w:pPr>
        <w:tabs>
          <w:tab w:val="num" w:pos="720"/>
        </w:tabs>
        <w:ind w:left="720" w:hanging="360"/>
      </w:pPr>
      <w:rPr>
        <w:rFonts w:ascii="Symbol" w:hAnsi="Symbol" w:hint="default"/>
      </w:rPr>
    </w:lvl>
    <w:lvl w:ilvl="1" w:tplc="A1FCCD6E" w:tentative="1">
      <w:start w:val="1"/>
      <w:numFmt w:val="bullet"/>
      <w:lvlText w:val="o"/>
      <w:lvlJc w:val="left"/>
      <w:pPr>
        <w:tabs>
          <w:tab w:val="num" w:pos="1440"/>
        </w:tabs>
        <w:ind w:left="1440" w:hanging="360"/>
      </w:pPr>
      <w:rPr>
        <w:rFonts w:ascii="Courier New" w:hAnsi="Courier New" w:cs="Courier New" w:hint="default"/>
      </w:rPr>
    </w:lvl>
    <w:lvl w:ilvl="2" w:tplc="B3B49AD6" w:tentative="1">
      <w:start w:val="1"/>
      <w:numFmt w:val="bullet"/>
      <w:lvlText w:val=""/>
      <w:lvlJc w:val="left"/>
      <w:pPr>
        <w:tabs>
          <w:tab w:val="num" w:pos="2160"/>
        </w:tabs>
        <w:ind w:left="2160" w:hanging="360"/>
      </w:pPr>
      <w:rPr>
        <w:rFonts w:ascii="Wingdings" w:hAnsi="Wingdings" w:hint="default"/>
      </w:rPr>
    </w:lvl>
    <w:lvl w:ilvl="3" w:tplc="8286DE74" w:tentative="1">
      <w:start w:val="1"/>
      <w:numFmt w:val="bullet"/>
      <w:lvlText w:val=""/>
      <w:lvlJc w:val="left"/>
      <w:pPr>
        <w:tabs>
          <w:tab w:val="num" w:pos="2880"/>
        </w:tabs>
        <w:ind w:left="2880" w:hanging="360"/>
      </w:pPr>
      <w:rPr>
        <w:rFonts w:ascii="Symbol" w:hAnsi="Symbol" w:hint="default"/>
      </w:rPr>
    </w:lvl>
    <w:lvl w:ilvl="4" w:tplc="BDAC10C2" w:tentative="1">
      <w:start w:val="1"/>
      <w:numFmt w:val="bullet"/>
      <w:lvlText w:val="o"/>
      <w:lvlJc w:val="left"/>
      <w:pPr>
        <w:tabs>
          <w:tab w:val="num" w:pos="3600"/>
        </w:tabs>
        <w:ind w:left="3600" w:hanging="360"/>
      </w:pPr>
      <w:rPr>
        <w:rFonts w:ascii="Courier New" w:hAnsi="Courier New" w:cs="Courier New" w:hint="default"/>
      </w:rPr>
    </w:lvl>
    <w:lvl w:ilvl="5" w:tplc="2B3265B2" w:tentative="1">
      <w:start w:val="1"/>
      <w:numFmt w:val="bullet"/>
      <w:lvlText w:val=""/>
      <w:lvlJc w:val="left"/>
      <w:pPr>
        <w:tabs>
          <w:tab w:val="num" w:pos="4320"/>
        </w:tabs>
        <w:ind w:left="4320" w:hanging="360"/>
      </w:pPr>
      <w:rPr>
        <w:rFonts w:ascii="Wingdings" w:hAnsi="Wingdings" w:hint="default"/>
      </w:rPr>
    </w:lvl>
    <w:lvl w:ilvl="6" w:tplc="E280DC16" w:tentative="1">
      <w:start w:val="1"/>
      <w:numFmt w:val="bullet"/>
      <w:lvlText w:val=""/>
      <w:lvlJc w:val="left"/>
      <w:pPr>
        <w:tabs>
          <w:tab w:val="num" w:pos="5040"/>
        </w:tabs>
        <w:ind w:left="5040" w:hanging="360"/>
      </w:pPr>
      <w:rPr>
        <w:rFonts w:ascii="Symbol" w:hAnsi="Symbol" w:hint="default"/>
      </w:rPr>
    </w:lvl>
    <w:lvl w:ilvl="7" w:tplc="E54E847A" w:tentative="1">
      <w:start w:val="1"/>
      <w:numFmt w:val="bullet"/>
      <w:lvlText w:val="o"/>
      <w:lvlJc w:val="left"/>
      <w:pPr>
        <w:tabs>
          <w:tab w:val="num" w:pos="5760"/>
        </w:tabs>
        <w:ind w:left="5760" w:hanging="360"/>
      </w:pPr>
      <w:rPr>
        <w:rFonts w:ascii="Courier New" w:hAnsi="Courier New" w:cs="Courier New" w:hint="default"/>
      </w:rPr>
    </w:lvl>
    <w:lvl w:ilvl="8" w:tplc="E17A938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62286C"/>
    <w:multiLevelType w:val="hybridMultilevel"/>
    <w:tmpl w:val="E6E80B98"/>
    <w:lvl w:ilvl="0" w:tplc="5BA40FFC">
      <w:start w:val="1"/>
      <w:numFmt w:val="bullet"/>
      <w:lvlText w:val=""/>
      <w:lvlJc w:val="left"/>
      <w:pPr>
        <w:ind w:left="720" w:hanging="360"/>
      </w:pPr>
      <w:rPr>
        <w:rFonts w:ascii="Symbol" w:hAnsi="Symbol" w:hint="default"/>
      </w:rPr>
    </w:lvl>
    <w:lvl w:ilvl="1" w:tplc="B8C4B68A" w:tentative="1">
      <w:start w:val="1"/>
      <w:numFmt w:val="bullet"/>
      <w:lvlText w:val="o"/>
      <w:lvlJc w:val="left"/>
      <w:pPr>
        <w:ind w:left="1440" w:hanging="360"/>
      </w:pPr>
      <w:rPr>
        <w:rFonts w:ascii="Courier New" w:hAnsi="Courier New" w:cs="Courier New" w:hint="default"/>
      </w:rPr>
    </w:lvl>
    <w:lvl w:ilvl="2" w:tplc="5616DC96" w:tentative="1">
      <w:start w:val="1"/>
      <w:numFmt w:val="bullet"/>
      <w:lvlText w:val=""/>
      <w:lvlJc w:val="left"/>
      <w:pPr>
        <w:ind w:left="2160" w:hanging="360"/>
      </w:pPr>
      <w:rPr>
        <w:rFonts w:ascii="Wingdings" w:hAnsi="Wingdings" w:hint="default"/>
      </w:rPr>
    </w:lvl>
    <w:lvl w:ilvl="3" w:tplc="F20EC7E6" w:tentative="1">
      <w:start w:val="1"/>
      <w:numFmt w:val="bullet"/>
      <w:lvlText w:val=""/>
      <w:lvlJc w:val="left"/>
      <w:pPr>
        <w:ind w:left="2880" w:hanging="360"/>
      </w:pPr>
      <w:rPr>
        <w:rFonts w:ascii="Symbol" w:hAnsi="Symbol" w:hint="default"/>
      </w:rPr>
    </w:lvl>
    <w:lvl w:ilvl="4" w:tplc="7E227C54" w:tentative="1">
      <w:start w:val="1"/>
      <w:numFmt w:val="bullet"/>
      <w:lvlText w:val="o"/>
      <w:lvlJc w:val="left"/>
      <w:pPr>
        <w:ind w:left="3600" w:hanging="360"/>
      </w:pPr>
      <w:rPr>
        <w:rFonts w:ascii="Courier New" w:hAnsi="Courier New" w:cs="Courier New" w:hint="default"/>
      </w:rPr>
    </w:lvl>
    <w:lvl w:ilvl="5" w:tplc="0A301FB6" w:tentative="1">
      <w:start w:val="1"/>
      <w:numFmt w:val="bullet"/>
      <w:lvlText w:val=""/>
      <w:lvlJc w:val="left"/>
      <w:pPr>
        <w:ind w:left="4320" w:hanging="360"/>
      </w:pPr>
      <w:rPr>
        <w:rFonts w:ascii="Wingdings" w:hAnsi="Wingdings" w:hint="default"/>
      </w:rPr>
    </w:lvl>
    <w:lvl w:ilvl="6" w:tplc="DFBA5C52" w:tentative="1">
      <w:start w:val="1"/>
      <w:numFmt w:val="bullet"/>
      <w:lvlText w:val=""/>
      <w:lvlJc w:val="left"/>
      <w:pPr>
        <w:ind w:left="5040" w:hanging="360"/>
      </w:pPr>
      <w:rPr>
        <w:rFonts w:ascii="Symbol" w:hAnsi="Symbol" w:hint="default"/>
      </w:rPr>
    </w:lvl>
    <w:lvl w:ilvl="7" w:tplc="23783CAC" w:tentative="1">
      <w:start w:val="1"/>
      <w:numFmt w:val="bullet"/>
      <w:lvlText w:val="o"/>
      <w:lvlJc w:val="left"/>
      <w:pPr>
        <w:ind w:left="5760" w:hanging="360"/>
      </w:pPr>
      <w:rPr>
        <w:rFonts w:ascii="Courier New" w:hAnsi="Courier New" w:cs="Courier New" w:hint="default"/>
      </w:rPr>
    </w:lvl>
    <w:lvl w:ilvl="8" w:tplc="14C416B6" w:tentative="1">
      <w:start w:val="1"/>
      <w:numFmt w:val="bullet"/>
      <w:lvlText w:val=""/>
      <w:lvlJc w:val="left"/>
      <w:pPr>
        <w:ind w:left="6480" w:hanging="360"/>
      </w:pPr>
      <w:rPr>
        <w:rFonts w:ascii="Wingdings" w:hAnsi="Wingdings" w:hint="default"/>
      </w:rPr>
    </w:lvl>
  </w:abstractNum>
  <w:abstractNum w:abstractNumId="17" w15:restartNumberingAfterBreak="0">
    <w:nsid w:val="5EA240A3"/>
    <w:multiLevelType w:val="hybridMultilevel"/>
    <w:tmpl w:val="05A6E93C"/>
    <w:lvl w:ilvl="0" w:tplc="ACAE2CDC">
      <w:start w:val="1"/>
      <w:numFmt w:val="bullet"/>
      <w:lvlText w:val=""/>
      <w:lvlJc w:val="left"/>
      <w:pPr>
        <w:tabs>
          <w:tab w:val="num" w:pos="720"/>
        </w:tabs>
        <w:ind w:left="720" w:hanging="360"/>
      </w:pPr>
      <w:rPr>
        <w:rFonts w:ascii="Symbol" w:hAnsi="Symbol" w:hint="default"/>
      </w:rPr>
    </w:lvl>
    <w:lvl w:ilvl="1" w:tplc="56348DC8" w:tentative="1">
      <w:start w:val="1"/>
      <w:numFmt w:val="bullet"/>
      <w:lvlText w:val="o"/>
      <w:lvlJc w:val="left"/>
      <w:pPr>
        <w:tabs>
          <w:tab w:val="num" w:pos="1440"/>
        </w:tabs>
        <w:ind w:left="1440" w:hanging="360"/>
      </w:pPr>
      <w:rPr>
        <w:rFonts w:ascii="Courier New" w:hAnsi="Courier New" w:cs="Courier New" w:hint="default"/>
      </w:rPr>
    </w:lvl>
    <w:lvl w:ilvl="2" w:tplc="9E5E0FF6" w:tentative="1">
      <w:start w:val="1"/>
      <w:numFmt w:val="bullet"/>
      <w:lvlText w:val=""/>
      <w:lvlJc w:val="left"/>
      <w:pPr>
        <w:tabs>
          <w:tab w:val="num" w:pos="2160"/>
        </w:tabs>
        <w:ind w:left="2160" w:hanging="360"/>
      </w:pPr>
      <w:rPr>
        <w:rFonts w:ascii="Wingdings" w:hAnsi="Wingdings" w:hint="default"/>
      </w:rPr>
    </w:lvl>
    <w:lvl w:ilvl="3" w:tplc="CD3CF650" w:tentative="1">
      <w:start w:val="1"/>
      <w:numFmt w:val="bullet"/>
      <w:lvlText w:val=""/>
      <w:lvlJc w:val="left"/>
      <w:pPr>
        <w:tabs>
          <w:tab w:val="num" w:pos="2880"/>
        </w:tabs>
        <w:ind w:left="2880" w:hanging="360"/>
      </w:pPr>
      <w:rPr>
        <w:rFonts w:ascii="Symbol" w:hAnsi="Symbol" w:hint="default"/>
      </w:rPr>
    </w:lvl>
    <w:lvl w:ilvl="4" w:tplc="1902B4E6" w:tentative="1">
      <w:start w:val="1"/>
      <w:numFmt w:val="bullet"/>
      <w:lvlText w:val="o"/>
      <w:lvlJc w:val="left"/>
      <w:pPr>
        <w:tabs>
          <w:tab w:val="num" w:pos="3600"/>
        </w:tabs>
        <w:ind w:left="3600" w:hanging="360"/>
      </w:pPr>
      <w:rPr>
        <w:rFonts w:ascii="Courier New" w:hAnsi="Courier New" w:cs="Courier New" w:hint="default"/>
      </w:rPr>
    </w:lvl>
    <w:lvl w:ilvl="5" w:tplc="5CACB50C" w:tentative="1">
      <w:start w:val="1"/>
      <w:numFmt w:val="bullet"/>
      <w:lvlText w:val=""/>
      <w:lvlJc w:val="left"/>
      <w:pPr>
        <w:tabs>
          <w:tab w:val="num" w:pos="4320"/>
        </w:tabs>
        <w:ind w:left="4320" w:hanging="360"/>
      </w:pPr>
      <w:rPr>
        <w:rFonts w:ascii="Wingdings" w:hAnsi="Wingdings" w:hint="default"/>
      </w:rPr>
    </w:lvl>
    <w:lvl w:ilvl="6" w:tplc="1100A0A6" w:tentative="1">
      <w:start w:val="1"/>
      <w:numFmt w:val="bullet"/>
      <w:lvlText w:val=""/>
      <w:lvlJc w:val="left"/>
      <w:pPr>
        <w:tabs>
          <w:tab w:val="num" w:pos="5040"/>
        </w:tabs>
        <w:ind w:left="5040" w:hanging="360"/>
      </w:pPr>
      <w:rPr>
        <w:rFonts w:ascii="Symbol" w:hAnsi="Symbol" w:hint="default"/>
      </w:rPr>
    </w:lvl>
    <w:lvl w:ilvl="7" w:tplc="B120BED0" w:tentative="1">
      <w:start w:val="1"/>
      <w:numFmt w:val="bullet"/>
      <w:lvlText w:val="o"/>
      <w:lvlJc w:val="left"/>
      <w:pPr>
        <w:tabs>
          <w:tab w:val="num" w:pos="5760"/>
        </w:tabs>
        <w:ind w:left="5760" w:hanging="360"/>
      </w:pPr>
      <w:rPr>
        <w:rFonts w:ascii="Courier New" w:hAnsi="Courier New" w:cs="Courier New" w:hint="default"/>
      </w:rPr>
    </w:lvl>
    <w:lvl w:ilvl="8" w:tplc="A3A6A64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FB5023"/>
    <w:multiLevelType w:val="hybridMultilevel"/>
    <w:tmpl w:val="1AFC7774"/>
    <w:lvl w:ilvl="0" w:tplc="950C7198">
      <w:start w:val="1"/>
      <w:numFmt w:val="decimal"/>
      <w:lvlText w:val="%1."/>
      <w:lvlJc w:val="left"/>
      <w:pPr>
        <w:tabs>
          <w:tab w:val="num" w:pos="1440"/>
        </w:tabs>
        <w:ind w:left="1440" w:hanging="360"/>
      </w:pPr>
    </w:lvl>
    <w:lvl w:ilvl="1" w:tplc="64C2FE52" w:tentative="1">
      <w:start w:val="1"/>
      <w:numFmt w:val="lowerLetter"/>
      <w:lvlText w:val="%2."/>
      <w:lvlJc w:val="left"/>
      <w:pPr>
        <w:tabs>
          <w:tab w:val="num" w:pos="2160"/>
        </w:tabs>
        <w:ind w:left="2160" w:hanging="360"/>
      </w:pPr>
    </w:lvl>
    <w:lvl w:ilvl="2" w:tplc="4F62CFBE" w:tentative="1">
      <w:start w:val="1"/>
      <w:numFmt w:val="lowerRoman"/>
      <w:lvlText w:val="%3."/>
      <w:lvlJc w:val="right"/>
      <w:pPr>
        <w:tabs>
          <w:tab w:val="num" w:pos="2880"/>
        </w:tabs>
        <w:ind w:left="2880" w:hanging="180"/>
      </w:pPr>
    </w:lvl>
    <w:lvl w:ilvl="3" w:tplc="22100BF8" w:tentative="1">
      <w:start w:val="1"/>
      <w:numFmt w:val="decimal"/>
      <w:lvlText w:val="%4."/>
      <w:lvlJc w:val="left"/>
      <w:pPr>
        <w:tabs>
          <w:tab w:val="num" w:pos="3600"/>
        </w:tabs>
        <w:ind w:left="3600" w:hanging="360"/>
      </w:pPr>
    </w:lvl>
    <w:lvl w:ilvl="4" w:tplc="A7C48CAC" w:tentative="1">
      <w:start w:val="1"/>
      <w:numFmt w:val="lowerLetter"/>
      <w:lvlText w:val="%5."/>
      <w:lvlJc w:val="left"/>
      <w:pPr>
        <w:tabs>
          <w:tab w:val="num" w:pos="4320"/>
        </w:tabs>
        <w:ind w:left="4320" w:hanging="360"/>
      </w:pPr>
    </w:lvl>
    <w:lvl w:ilvl="5" w:tplc="386E5EA4" w:tentative="1">
      <w:start w:val="1"/>
      <w:numFmt w:val="lowerRoman"/>
      <w:lvlText w:val="%6."/>
      <w:lvlJc w:val="right"/>
      <w:pPr>
        <w:tabs>
          <w:tab w:val="num" w:pos="5040"/>
        </w:tabs>
        <w:ind w:left="5040" w:hanging="180"/>
      </w:pPr>
    </w:lvl>
    <w:lvl w:ilvl="6" w:tplc="421E05EC" w:tentative="1">
      <w:start w:val="1"/>
      <w:numFmt w:val="decimal"/>
      <w:lvlText w:val="%7."/>
      <w:lvlJc w:val="left"/>
      <w:pPr>
        <w:tabs>
          <w:tab w:val="num" w:pos="5760"/>
        </w:tabs>
        <w:ind w:left="5760" w:hanging="360"/>
      </w:pPr>
    </w:lvl>
    <w:lvl w:ilvl="7" w:tplc="915274DE" w:tentative="1">
      <w:start w:val="1"/>
      <w:numFmt w:val="lowerLetter"/>
      <w:lvlText w:val="%8."/>
      <w:lvlJc w:val="left"/>
      <w:pPr>
        <w:tabs>
          <w:tab w:val="num" w:pos="6480"/>
        </w:tabs>
        <w:ind w:left="6480" w:hanging="360"/>
      </w:pPr>
    </w:lvl>
    <w:lvl w:ilvl="8" w:tplc="C90A39D0" w:tentative="1">
      <w:start w:val="1"/>
      <w:numFmt w:val="lowerRoman"/>
      <w:lvlText w:val="%9."/>
      <w:lvlJc w:val="right"/>
      <w:pPr>
        <w:tabs>
          <w:tab w:val="num" w:pos="7200"/>
        </w:tabs>
        <w:ind w:left="7200" w:hanging="180"/>
      </w:pPr>
    </w:lvl>
  </w:abstractNum>
  <w:abstractNum w:abstractNumId="19" w15:restartNumberingAfterBreak="0">
    <w:nsid w:val="678A70BD"/>
    <w:multiLevelType w:val="singleLevel"/>
    <w:tmpl w:val="BC62A180"/>
    <w:lvl w:ilvl="0">
      <w:start w:val="1"/>
      <w:numFmt w:val="decimal"/>
      <w:lvlText w:val="%1."/>
      <w:lvlJc w:val="left"/>
      <w:pPr>
        <w:tabs>
          <w:tab w:val="num" w:pos="1080"/>
        </w:tabs>
        <w:ind w:left="1080" w:hanging="360"/>
      </w:pPr>
      <w:rPr>
        <w:rFonts w:hint="default"/>
      </w:rPr>
    </w:lvl>
  </w:abstractNum>
  <w:abstractNum w:abstractNumId="20" w15:restartNumberingAfterBreak="0">
    <w:nsid w:val="6BDA6343"/>
    <w:multiLevelType w:val="multilevel"/>
    <w:tmpl w:val="77044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F31C1"/>
    <w:multiLevelType w:val="hybridMultilevel"/>
    <w:tmpl w:val="70BE946A"/>
    <w:lvl w:ilvl="0" w:tplc="BB82F258">
      <w:start w:val="1"/>
      <w:numFmt w:val="bullet"/>
      <w:lvlText w:val=""/>
      <w:lvlJc w:val="left"/>
      <w:pPr>
        <w:ind w:left="1637" w:hanging="360"/>
      </w:pPr>
      <w:rPr>
        <w:rFonts w:ascii="Symbol" w:hAnsi="Symbol" w:hint="default"/>
      </w:rPr>
    </w:lvl>
    <w:lvl w:ilvl="1" w:tplc="E32EFF7C" w:tentative="1">
      <w:start w:val="1"/>
      <w:numFmt w:val="bullet"/>
      <w:lvlText w:val="o"/>
      <w:lvlJc w:val="left"/>
      <w:pPr>
        <w:ind w:left="1440" w:hanging="360"/>
      </w:pPr>
      <w:rPr>
        <w:rFonts w:ascii="Courier New" w:hAnsi="Courier New" w:cs="Courier New" w:hint="default"/>
      </w:rPr>
    </w:lvl>
    <w:lvl w:ilvl="2" w:tplc="D9DE9626" w:tentative="1">
      <w:start w:val="1"/>
      <w:numFmt w:val="bullet"/>
      <w:lvlText w:val=""/>
      <w:lvlJc w:val="left"/>
      <w:pPr>
        <w:ind w:left="2160" w:hanging="360"/>
      </w:pPr>
      <w:rPr>
        <w:rFonts w:ascii="Wingdings" w:hAnsi="Wingdings" w:hint="default"/>
      </w:rPr>
    </w:lvl>
    <w:lvl w:ilvl="3" w:tplc="9FE6EC86" w:tentative="1">
      <w:start w:val="1"/>
      <w:numFmt w:val="bullet"/>
      <w:lvlText w:val=""/>
      <w:lvlJc w:val="left"/>
      <w:pPr>
        <w:ind w:left="2880" w:hanging="360"/>
      </w:pPr>
      <w:rPr>
        <w:rFonts w:ascii="Symbol" w:hAnsi="Symbol" w:hint="default"/>
      </w:rPr>
    </w:lvl>
    <w:lvl w:ilvl="4" w:tplc="7ADCB752" w:tentative="1">
      <w:start w:val="1"/>
      <w:numFmt w:val="bullet"/>
      <w:lvlText w:val="o"/>
      <w:lvlJc w:val="left"/>
      <w:pPr>
        <w:ind w:left="3600" w:hanging="360"/>
      </w:pPr>
      <w:rPr>
        <w:rFonts w:ascii="Courier New" w:hAnsi="Courier New" w:cs="Courier New" w:hint="default"/>
      </w:rPr>
    </w:lvl>
    <w:lvl w:ilvl="5" w:tplc="49F6F788" w:tentative="1">
      <w:start w:val="1"/>
      <w:numFmt w:val="bullet"/>
      <w:lvlText w:val=""/>
      <w:lvlJc w:val="left"/>
      <w:pPr>
        <w:ind w:left="4320" w:hanging="360"/>
      </w:pPr>
      <w:rPr>
        <w:rFonts w:ascii="Wingdings" w:hAnsi="Wingdings" w:hint="default"/>
      </w:rPr>
    </w:lvl>
    <w:lvl w:ilvl="6" w:tplc="B64AC796" w:tentative="1">
      <w:start w:val="1"/>
      <w:numFmt w:val="bullet"/>
      <w:lvlText w:val=""/>
      <w:lvlJc w:val="left"/>
      <w:pPr>
        <w:ind w:left="5040" w:hanging="360"/>
      </w:pPr>
      <w:rPr>
        <w:rFonts w:ascii="Symbol" w:hAnsi="Symbol" w:hint="default"/>
      </w:rPr>
    </w:lvl>
    <w:lvl w:ilvl="7" w:tplc="6E16DCF4" w:tentative="1">
      <w:start w:val="1"/>
      <w:numFmt w:val="bullet"/>
      <w:lvlText w:val="o"/>
      <w:lvlJc w:val="left"/>
      <w:pPr>
        <w:ind w:left="5760" w:hanging="360"/>
      </w:pPr>
      <w:rPr>
        <w:rFonts w:ascii="Courier New" w:hAnsi="Courier New" w:cs="Courier New" w:hint="default"/>
      </w:rPr>
    </w:lvl>
    <w:lvl w:ilvl="8" w:tplc="000ADDF6" w:tentative="1">
      <w:start w:val="1"/>
      <w:numFmt w:val="bullet"/>
      <w:lvlText w:val=""/>
      <w:lvlJc w:val="left"/>
      <w:pPr>
        <w:ind w:left="6480" w:hanging="360"/>
      </w:pPr>
      <w:rPr>
        <w:rFonts w:ascii="Wingdings" w:hAnsi="Wingdings" w:hint="default"/>
      </w:rPr>
    </w:lvl>
  </w:abstractNum>
  <w:abstractNum w:abstractNumId="22" w15:restartNumberingAfterBreak="0">
    <w:nsid w:val="73CD5159"/>
    <w:multiLevelType w:val="singleLevel"/>
    <w:tmpl w:val="0419000F"/>
    <w:lvl w:ilvl="0">
      <w:start w:val="1"/>
      <w:numFmt w:val="decimal"/>
      <w:lvlText w:val="%1."/>
      <w:lvlJc w:val="left"/>
      <w:pPr>
        <w:tabs>
          <w:tab w:val="num" w:pos="360"/>
        </w:tabs>
        <w:ind w:left="360" w:hanging="360"/>
      </w:pPr>
      <w:rPr>
        <w:rFonts w:hint="default"/>
      </w:rPr>
    </w:lvl>
  </w:abstractNum>
  <w:num w:numId="1">
    <w:abstractNumId w:val="19"/>
  </w:num>
  <w:num w:numId="2">
    <w:abstractNumId w:val="18"/>
  </w:num>
  <w:num w:numId="3">
    <w:abstractNumId w:val="22"/>
  </w:num>
  <w:num w:numId="4">
    <w:abstractNumId w:val="2"/>
  </w:num>
  <w:num w:numId="5">
    <w:abstractNumId w:val="8"/>
  </w:num>
  <w:num w:numId="6">
    <w:abstractNumId w:val="7"/>
  </w:num>
  <w:num w:numId="7">
    <w:abstractNumId w:val="20"/>
  </w:num>
  <w:num w:numId="8">
    <w:abstractNumId w:val="9"/>
  </w:num>
  <w:num w:numId="9">
    <w:abstractNumId w:val="5"/>
  </w:num>
  <w:num w:numId="10">
    <w:abstractNumId w:val="17"/>
  </w:num>
  <w:num w:numId="11">
    <w:abstractNumId w:val="6"/>
  </w:num>
  <w:num w:numId="12">
    <w:abstractNumId w:val="15"/>
  </w:num>
  <w:num w:numId="13">
    <w:abstractNumId w:val="12"/>
  </w:num>
  <w:num w:numId="14">
    <w:abstractNumId w:val="10"/>
  </w:num>
  <w:num w:numId="15">
    <w:abstractNumId w:val="0"/>
    <w:lvlOverride w:ilvl="0">
      <w:lvl w:ilvl="0">
        <w:numFmt w:val="bullet"/>
        <w:lvlText w:val="-"/>
        <w:legacy w:legacy="1" w:legacySpace="0" w:legacyIndent="139"/>
        <w:lvlJc w:val="left"/>
        <w:rPr>
          <w:rFonts w:ascii="Arial" w:hAnsi="Arial" w:cs="Arial" w:hint="default"/>
        </w:rPr>
      </w:lvl>
    </w:lvlOverride>
  </w:num>
  <w:num w:numId="16">
    <w:abstractNumId w:val="3"/>
  </w:num>
  <w:num w:numId="17">
    <w:abstractNumId w:val="16"/>
  </w:num>
  <w:num w:numId="18">
    <w:abstractNumId w:val="1"/>
  </w:num>
  <w:num w:numId="19">
    <w:abstractNumId w:val="13"/>
  </w:num>
  <w:num w:numId="20">
    <w:abstractNumId w:val="4"/>
  </w:num>
  <w:num w:numId="21">
    <w:abstractNumId w:val="14"/>
  </w:num>
  <w:num w:numId="22">
    <w:abstractNumId w:val="1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73D"/>
    <w:rsid w:val="00000BCE"/>
    <w:rsid w:val="00003EB0"/>
    <w:rsid w:val="00004D65"/>
    <w:rsid w:val="000069D1"/>
    <w:rsid w:val="00015F97"/>
    <w:rsid w:val="00025229"/>
    <w:rsid w:val="00026779"/>
    <w:rsid w:val="00026CA0"/>
    <w:rsid w:val="00031FFD"/>
    <w:rsid w:val="00035D3F"/>
    <w:rsid w:val="000400C1"/>
    <w:rsid w:val="00043FBF"/>
    <w:rsid w:val="000544C9"/>
    <w:rsid w:val="000552CB"/>
    <w:rsid w:val="00064798"/>
    <w:rsid w:val="0007011A"/>
    <w:rsid w:val="000751C7"/>
    <w:rsid w:val="00082B47"/>
    <w:rsid w:val="00083CE8"/>
    <w:rsid w:val="00083DE3"/>
    <w:rsid w:val="00084A63"/>
    <w:rsid w:val="00085A6F"/>
    <w:rsid w:val="000878F7"/>
    <w:rsid w:val="00087A6E"/>
    <w:rsid w:val="0009096F"/>
    <w:rsid w:val="00090D7D"/>
    <w:rsid w:val="00091DDA"/>
    <w:rsid w:val="000A3A4B"/>
    <w:rsid w:val="000B097B"/>
    <w:rsid w:val="000B1E2D"/>
    <w:rsid w:val="000B3C05"/>
    <w:rsid w:val="000C1307"/>
    <w:rsid w:val="000C21BF"/>
    <w:rsid w:val="000C2965"/>
    <w:rsid w:val="000C2CBF"/>
    <w:rsid w:val="000C68AC"/>
    <w:rsid w:val="000C7222"/>
    <w:rsid w:val="000D73E2"/>
    <w:rsid w:val="000E36C0"/>
    <w:rsid w:val="000E48F3"/>
    <w:rsid w:val="000E5AD3"/>
    <w:rsid w:val="000E5F37"/>
    <w:rsid w:val="000F1804"/>
    <w:rsid w:val="000F443A"/>
    <w:rsid w:val="000F7654"/>
    <w:rsid w:val="000F7736"/>
    <w:rsid w:val="001018CC"/>
    <w:rsid w:val="00101A92"/>
    <w:rsid w:val="00103798"/>
    <w:rsid w:val="0011496B"/>
    <w:rsid w:val="00117D43"/>
    <w:rsid w:val="001214E3"/>
    <w:rsid w:val="00122A0F"/>
    <w:rsid w:val="00123868"/>
    <w:rsid w:val="00123C22"/>
    <w:rsid w:val="00125EB6"/>
    <w:rsid w:val="001267D8"/>
    <w:rsid w:val="00126F44"/>
    <w:rsid w:val="00130458"/>
    <w:rsid w:val="00132573"/>
    <w:rsid w:val="00132A86"/>
    <w:rsid w:val="00134A4D"/>
    <w:rsid w:val="0013583A"/>
    <w:rsid w:val="00144DEB"/>
    <w:rsid w:val="00147B82"/>
    <w:rsid w:val="00161FEC"/>
    <w:rsid w:val="001653F1"/>
    <w:rsid w:val="00170CB0"/>
    <w:rsid w:val="00171995"/>
    <w:rsid w:val="001848A4"/>
    <w:rsid w:val="001A0514"/>
    <w:rsid w:val="001A1328"/>
    <w:rsid w:val="001A6CC4"/>
    <w:rsid w:val="001A6EB0"/>
    <w:rsid w:val="001A7BCC"/>
    <w:rsid w:val="001B4AAE"/>
    <w:rsid w:val="001D4E39"/>
    <w:rsid w:val="001D57C2"/>
    <w:rsid w:val="001F5F47"/>
    <w:rsid w:val="00202A58"/>
    <w:rsid w:val="002052B3"/>
    <w:rsid w:val="00211408"/>
    <w:rsid w:val="0021170D"/>
    <w:rsid w:val="00212928"/>
    <w:rsid w:val="00212A9B"/>
    <w:rsid w:val="00212D0D"/>
    <w:rsid w:val="00213A12"/>
    <w:rsid w:val="00227072"/>
    <w:rsid w:val="0023167D"/>
    <w:rsid w:val="00234CCA"/>
    <w:rsid w:val="00237AE6"/>
    <w:rsid w:val="00242037"/>
    <w:rsid w:val="00247893"/>
    <w:rsid w:val="00250506"/>
    <w:rsid w:val="00253108"/>
    <w:rsid w:val="00255260"/>
    <w:rsid w:val="00257927"/>
    <w:rsid w:val="00263AC1"/>
    <w:rsid w:val="00266849"/>
    <w:rsid w:val="0027315A"/>
    <w:rsid w:val="00284634"/>
    <w:rsid w:val="00285EA1"/>
    <w:rsid w:val="00291251"/>
    <w:rsid w:val="002920EE"/>
    <w:rsid w:val="002A0751"/>
    <w:rsid w:val="002A6744"/>
    <w:rsid w:val="002A75C9"/>
    <w:rsid w:val="002B4502"/>
    <w:rsid w:val="002D4E2D"/>
    <w:rsid w:val="002D77DB"/>
    <w:rsid w:val="002D7B57"/>
    <w:rsid w:val="002E2466"/>
    <w:rsid w:val="002E327C"/>
    <w:rsid w:val="002F2C5D"/>
    <w:rsid w:val="002F2C8C"/>
    <w:rsid w:val="002F3019"/>
    <w:rsid w:val="002F5211"/>
    <w:rsid w:val="002F528C"/>
    <w:rsid w:val="002F79EB"/>
    <w:rsid w:val="0030114B"/>
    <w:rsid w:val="00301999"/>
    <w:rsid w:val="003049FB"/>
    <w:rsid w:val="00304D62"/>
    <w:rsid w:val="00314805"/>
    <w:rsid w:val="00317D0A"/>
    <w:rsid w:val="00325CDC"/>
    <w:rsid w:val="00333232"/>
    <w:rsid w:val="00336356"/>
    <w:rsid w:val="00337988"/>
    <w:rsid w:val="00355481"/>
    <w:rsid w:val="00356237"/>
    <w:rsid w:val="003568E0"/>
    <w:rsid w:val="00360C10"/>
    <w:rsid w:val="00362CDF"/>
    <w:rsid w:val="003630A8"/>
    <w:rsid w:val="00364403"/>
    <w:rsid w:val="0036659C"/>
    <w:rsid w:val="00370256"/>
    <w:rsid w:val="00376261"/>
    <w:rsid w:val="00382868"/>
    <w:rsid w:val="003839CA"/>
    <w:rsid w:val="0038763D"/>
    <w:rsid w:val="003915FC"/>
    <w:rsid w:val="003972B0"/>
    <w:rsid w:val="00397D65"/>
    <w:rsid w:val="003A0B44"/>
    <w:rsid w:val="003A24D5"/>
    <w:rsid w:val="003A55AC"/>
    <w:rsid w:val="003C1986"/>
    <w:rsid w:val="003C3FCD"/>
    <w:rsid w:val="003D237E"/>
    <w:rsid w:val="003D3C25"/>
    <w:rsid w:val="003E7DD0"/>
    <w:rsid w:val="003F5BF6"/>
    <w:rsid w:val="003F6F17"/>
    <w:rsid w:val="0040212E"/>
    <w:rsid w:val="00402A3C"/>
    <w:rsid w:val="00405723"/>
    <w:rsid w:val="0041419E"/>
    <w:rsid w:val="00417333"/>
    <w:rsid w:val="0042058D"/>
    <w:rsid w:val="00425BD0"/>
    <w:rsid w:val="00426045"/>
    <w:rsid w:val="004278AE"/>
    <w:rsid w:val="00436172"/>
    <w:rsid w:val="004416DD"/>
    <w:rsid w:val="00447569"/>
    <w:rsid w:val="00450C86"/>
    <w:rsid w:val="0045144A"/>
    <w:rsid w:val="00451F8B"/>
    <w:rsid w:val="00455195"/>
    <w:rsid w:val="00457C42"/>
    <w:rsid w:val="00472D0A"/>
    <w:rsid w:val="00481641"/>
    <w:rsid w:val="00491A66"/>
    <w:rsid w:val="004A315B"/>
    <w:rsid w:val="004B3792"/>
    <w:rsid w:val="004B3FEF"/>
    <w:rsid w:val="004C1BFA"/>
    <w:rsid w:val="004C3114"/>
    <w:rsid w:val="004C54BA"/>
    <w:rsid w:val="004C7B77"/>
    <w:rsid w:val="004D1A25"/>
    <w:rsid w:val="004D1AA7"/>
    <w:rsid w:val="004E51D1"/>
    <w:rsid w:val="004F7D59"/>
    <w:rsid w:val="00500091"/>
    <w:rsid w:val="0050165C"/>
    <w:rsid w:val="00504484"/>
    <w:rsid w:val="00506836"/>
    <w:rsid w:val="00516AE5"/>
    <w:rsid w:val="005228D9"/>
    <w:rsid w:val="005239D2"/>
    <w:rsid w:val="00523CCF"/>
    <w:rsid w:val="00533C61"/>
    <w:rsid w:val="005412A0"/>
    <w:rsid w:val="005452BD"/>
    <w:rsid w:val="0054614D"/>
    <w:rsid w:val="005543E3"/>
    <w:rsid w:val="00555084"/>
    <w:rsid w:val="00571CE7"/>
    <w:rsid w:val="00574055"/>
    <w:rsid w:val="00576D6C"/>
    <w:rsid w:val="005770F9"/>
    <w:rsid w:val="00590BA0"/>
    <w:rsid w:val="005A19BC"/>
    <w:rsid w:val="005A52EB"/>
    <w:rsid w:val="005A5589"/>
    <w:rsid w:val="005A5A61"/>
    <w:rsid w:val="005A5B31"/>
    <w:rsid w:val="005A6E5F"/>
    <w:rsid w:val="005B1767"/>
    <w:rsid w:val="005B6036"/>
    <w:rsid w:val="005C2CBB"/>
    <w:rsid w:val="005D18AC"/>
    <w:rsid w:val="005D2312"/>
    <w:rsid w:val="005D2746"/>
    <w:rsid w:val="005D6DA0"/>
    <w:rsid w:val="005E14B8"/>
    <w:rsid w:val="005E1B05"/>
    <w:rsid w:val="005E542A"/>
    <w:rsid w:val="005E736B"/>
    <w:rsid w:val="005F5485"/>
    <w:rsid w:val="00600F18"/>
    <w:rsid w:val="00607B4F"/>
    <w:rsid w:val="00607BA7"/>
    <w:rsid w:val="00607D93"/>
    <w:rsid w:val="006117C3"/>
    <w:rsid w:val="006121CE"/>
    <w:rsid w:val="006135C6"/>
    <w:rsid w:val="006203BC"/>
    <w:rsid w:val="00620B70"/>
    <w:rsid w:val="00631CC8"/>
    <w:rsid w:val="0063484E"/>
    <w:rsid w:val="0064695B"/>
    <w:rsid w:val="00652210"/>
    <w:rsid w:val="0065232E"/>
    <w:rsid w:val="00656240"/>
    <w:rsid w:val="006607BE"/>
    <w:rsid w:val="00677D8E"/>
    <w:rsid w:val="00680569"/>
    <w:rsid w:val="006903EC"/>
    <w:rsid w:val="00691633"/>
    <w:rsid w:val="00694553"/>
    <w:rsid w:val="00695559"/>
    <w:rsid w:val="0069760F"/>
    <w:rsid w:val="006A5E53"/>
    <w:rsid w:val="006B0837"/>
    <w:rsid w:val="006B1A57"/>
    <w:rsid w:val="006B4362"/>
    <w:rsid w:val="006B5CBE"/>
    <w:rsid w:val="006C18EA"/>
    <w:rsid w:val="006C2AF5"/>
    <w:rsid w:val="006C2F28"/>
    <w:rsid w:val="006C6216"/>
    <w:rsid w:val="006C71BF"/>
    <w:rsid w:val="006D06BF"/>
    <w:rsid w:val="006D2A13"/>
    <w:rsid w:val="006D40C8"/>
    <w:rsid w:val="006D4DC2"/>
    <w:rsid w:val="006D52A1"/>
    <w:rsid w:val="006D545B"/>
    <w:rsid w:val="006D6BC5"/>
    <w:rsid w:val="006E577B"/>
    <w:rsid w:val="006E5812"/>
    <w:rsid w:val="006E6B06"/>
    <w:rsid w:val="006F049F"/>
    <w:rsid w:val="006F239A"/>
    <w:rsid w:val="006F2705"/>
    <w:rsid w:val="006F2A8A"/>
    <w:rsid w:val="0070475A"/>
    <w:rsid w:val="00705257"/>
    <w:rsid w:val="0070655A"/>
    <w:rsid w:val="00706A21"/>
    <w:rsid w:val="00707B8C"/>
    <w:rsid w:val="00707C64"/>
    <w:rsid w:val="00717794"/>
    <w:rsid w:val="007233A9"/>
    <w:rsid w:val="00725E63"/>
    <w:rsid w:val="00726CCF"/>
    <w:rsid w:val="00726F1F"/>
    <w:rsid w:val="00736D3B"/>
    <w:rsid w:val="00743D98"/>
    <w:rsid w:val="00755056"/>
    <w:rsid w:val="00761978"/>
    <w:rsid w:val="00762462"/>
    <w:rsid w:val="00765493"/>
    <w:rsid w:val="00765FEE"/>
    <w:rsid w:val="00774EC0"/>
    <w:rsid w:val="00776DF4"/>
    <w:rsid w:val="0078048D"/>
    <w:rsid w:val="007819F2"/>
    <w:rsid w:val="00786135"/>
    <w:rsid w:val="00795D5E"/>
    <w:rsid w:val="00796DA3"/>
    <w:rsid w:val="007A23A3"/>
    <w:rsid w:val="007A36AD"/>
    <w:rsid w:val="007B24DB"/>
    <w:rsid w:val="007C47D0"/>
    <w:rsid w:val="007D0F47"/>
    <w:rsid w:val="007D2AD4"/>
    <w:rsid w:val="007D6980"/>
    <w:rsid w:val="007D7D1C"/>
    <w:rsid w:val="007E2EA1"/>
    <w:rsid w:val="007E4BB1"/>
    <w:rsid w:val="007E5370"/>
    <w:rsid w:val="007E70EC"/>
    <w:rsid w:val="007F051E"/>
    <w:rsid w:val="007F3B62"/>
    <w:rsid w:val="007F7B0C"/>
    <w:rsid w:val="00804298"/>
    <w:rsid w:val="008076DC"/>
    <w:rsid w:val="00810486"/>
    <w:rsid w:val="00815388"/>
    <w:rsid w:val="00815D29"/>
    <w:rsid w:val="00816339"/>
    <w:rsid w:val="00816683"/>
    <w:rsid w:val="0082173D"/>
    <w:rsid w:val="00827799"/>
    <w:rsid w:val="0083224A"/>
    <w:rsid w:val="008322A4"/>
    <w:rsid w:val="00834699"/>
    <w:rsid w:val="0084036E"/>
    <w:rsid w:val="008456A1"/>
    <w:rsid w:val="008461B2"/>
    <w:rsid w:val="008463CE"/>
    <w:rsid w:val="008478F5"/>
    <w:rsid w:val="008523EA"/>
    <w:rsid w:val="008542AE"/>
    <w:rsid w:val="00855E96"/>
    <w:rsid w:val="00857E3D"/>
    <w:rsid w:val="0086116F"/>
    <w:rsid w:val="00861ECB"/>
    <w:rsid w:val="00862226"/>
    <w:rsid w:val="00866A27"/>
    <w:rsid w:val="008709A0"/>
    <w:rsid w:val="00870F97"/>
    <w:rsid w:val="00872A55"/>
    <w:rsid w:val="00874C4C"/>
    <w:rsid w:val="0087792F"/>
    <w:rsid w:val="0088198F"/>
    <w:rsid w:val="00893055"/>
    <w:rsid w:val="00893AEB"/>
    <w:rsid w:val="008A44A1"/>
    <w:rsid w:val="008A4EB5"/>
    <w:rsid w:val="008A6D2B"/>
    <w:rsid w:val="008A7CF0"/>
    <w:rsid w:val="008B325E"/>
    <w:rsid w:val="008B5196"/>
    <w:rsid w:val="008B5E8D"/>
    <w:rsid w:val="008C3E6C"/>
    <w:rsid w:val="008D0963"/>
    <w:rsid w:val="008D3E48"/>
    <w:rsid w:val="008D5747"/>
    <w:rsid w:val="008D5FEB"/>
    <w:rsid w:val="008D744E"/>
    <w:rsid w:val="008F05A8"/>
    <w:rsid w:val="00925FDF"/>
    <w:rsid w:val="009402B6"/>
    <w:rsid w:val="009414D4"/>
    <w:rsid w:val="00953E24"/>
    <w:rsid w:val="00953E58"/>
    <w:rsid w:val="009552D4"/>
    <w:rsid w:val="0096321D"/>
    <w:rsid w:val="0096335C"/>
    <w:rsid w:val="00965099"/>
    <w:rsid w:val="00966776"/>
    <w:rsid w:val="00971B5E"/>
    <w:rsid w:val="009741B3"/>
    <w:rsid w:val="00983861"/>
    <w:rsid w:val="009851D9"/>
    <w:rsid w:val="009851F3"/>
    <w:rsid w:val="00994680"/>
    <w:rsid w:val="009A10E0"/>
    <w:rsid w:val="009A1BB9"/>
    <w:rsid w:val="009A1E1B"/>
    <w:rsid w:val="009B0AF9"/>
    <w:rsid w:val="009B0B72"/>
    <w:rsid w:val="009B148E"/>
    <w:rsid w:val="009B3C73"/>
    <w:rsid w:val="009B7100"/>
    <w:rsid w:val="009C228B"/>
    <w:rsid w:val="009C34B9"/>
    <w:rsid w:val="009C74E9"/>
    <w:rsid w:val="009D472B"/>
    <w:rsid w:val="009D7DC0"/>
    <w:rsid w:val="009D7F14"/>
    <w:rsid w:val="009E0397"/>
    <w:rsid w:val="009E5389"/>
    <w:rsid w:val="009E6D78"/>
    <w:rsid w:val="009F4D77"/>
    <w:rsid w:val="009F656B"/>
    <w:rsid w:val="00A0140F"/>
    <w:rsid w:val="00A04057"/>
    <w:rsid w:val="00A06A4C"/>
    <w:rsid w:val="00A07756"/>
    <w:rsid w:val="00A12E10"/>
    <w:rsid w:val="00A1662D"/>
    <w:rsid w:val="00A238F0"/>
    <w:rsid w:val="00A245D2"/>
    <w:rsid w:val="00A375C1"/>
    <w:rsid w:val="00A41DF8"/>
    <w:rsid w:val="00A43283"/>
    <w:rsid w:val="00A513D0"/>
    <w:rsid w:val="00A51480"/>
    <w:rsid w:val="00A54FD2"/>
    <w:rsid w:val="00A55CBC"/>
    <w:rsid w:val="00A56540"/>
    <w:rsid w:val="00A565EE"/>
    <w:rsid w:val="00A61B84"/>
    <w:rsid w:val="00A64586"/>
    <w:rsid w:val="00A64851"/>
    <w:rsid w:val="00A64F1E"/>
    <w:rsid w:val="00A67C5D"/>
    <w:rsid w:val="00A7242E"/>
    <w:rsid w:val="00A80B92"/>
    <w:rsid w:val="00A917FE"/>
    <w:rsid w:val="00AA5DB1"/>
    <w:rsid w:val="00AB1F61"/>
    <w:rsid w:val="00AB7966"/>
    <w:rsid w:val="00AC7F7F"/>
    <w:rsid w:val="00AD454F"/>
    <w:rsid w:val="00AD5156"/>
    <w:rsid w:val="00AF02AB"/>
    <w:rsid w:val="00B01673"/>
    <w:rsid w:val="00B07895"/>
    <w:rsid w:val="00B13903"/>
    <w:rsid w:val="00B15BBD"/>
    <w:rsid w:val="00B16BB0"/>
    <w:rsid w:val="00B27FE7"/>
    <w:rsid w:val="00B31272"/>
    <w:rsid w:val="00B32D22"/>
    <w:rsid w:val="00B335EE"/>
    <w:rsid w:val="00B50BA0"/>
    <w:rsid w:val="00B534EF"/>
    <w:rsid w:val="00B57AD8"/>
    <w:rsid w:val="00B64739"/>
    <w:rsid w:val="00B648A2"/>
    <w:rsid w:val="00B65A62"/>
    <w:rsid w:val="00B66318"/>
    <w:rsid w:val="00B8712D"/>
    <w:rsid w:val="00B91B7B"/>
    <w:rsid w:val="00B94609"/>
    <w:rsid w:val="00B959A4"/>
    <w:rsid w:val="00B96EE6"/>
    <w:rsid w:val="00BA1B28"/>
    <w:rsid w:val="00BA2ED2"/>
    <w:rsid w:val="00BA3A6F"/>
    <w:rsid w:val="00BA68DF"/>
    <w:rsid w:val="00BA7113"/>
    <w:rsid w:val="00BB1D4F"/>
    <w:rsid w:val="00BB518B"/>
    <w:rsid w:val="00BB6DE3"/>
    <w:rsid w:val="00BC3BBA"/>
    <w:rsid w:val="00BC7729"/>
    <w:rsid w:val="00BD0D20"/>
    <w:rsid w:val="00BD0E4C"/>
    <w:rsid w:val="00BE075A"/>
    <w:rsid w:val="00BE1882"/>
    <w:rsid w:val="00BE418D"/>
    <w:rsid w:val="00BE462F"/>
    <w:rsid w:val="00BE702A"/>
    <w:rsid w:val="00BF1E6D"/>
    <w:rsid w:val="00BF41C3"/>
    <w:rsid w:val="00BF7813"/>
    <w:rsid w:val="00C043F9"/>
    <w:rsid w:val="00C11CE5"/>
    <w:rsid w:val="00C1202E"/>
    <w:rsid w:val="00C12DC1"/>
    <w:rsid w:val="00C17877"/>
    <w:rsid w:val="00C236B1"/>
    <w:rsid w:val="00C257F3"/>
    <w:rsid w:val="00C267B4"/>
    <w:rsid w:val="00C27C3F"/>
    <w:rsid w:val="00C401C4"/>
    <w:rsid w:val="00C419FB"/>
    <w:rsid w:val="00C43383"/>
    <w:rsid w:val="00C46D2D"/>
    <w:rsid w:val="00C4711B"/>
    <w:rsid w:val="00C50721"/>
    <w:rsid w:val="00C52EDD"/>
    <w:rsid w:val="00C54B9B"/>
    <w:rsid w:val="00C57898"/>
    <w:rsid w:val="00C6270F"/>
    <w:rsid w:val="00C62C88"/>
    <w:rsid w:val="00C64B91"/>
    <w:rsid w:val="00C64DF0"/>
    <w:rsid w:val="00C66573"/>
    <w:rsid w:val="00C706B0"/>
    <w:rsid w:val="00C7189D"/>
    <w:rsid w:val="00C72398"/>
    <w:rsid w:val="00C72891"/>
    <w:rsid w:val="00C76815"/>
    <w:rsid w:val="00C808B5"/>
    <w:rsid w:val="00C82961"/>
    <w:rsid w:val="00C82B05"/>
    <w:rsid w:val="00C858DD"/>
    <w:rsid w:val="00C85CF3"/>
    <w:rsid w:val="00C876E0"/>
    <w:rsid w:val="00C944BE"/>
    <w:rsid w:val="00C9533A"/>
    <w:rsid w:val="00C9736F"/>
    <w:rsid w:val="00CA551F"/>
    <w:rsid w:val="00CA757D"/>
    <w:rsid w:val="00CB53EF"/>
    <w:rsid w:val="00CB5F0A"/>
    <w:rsid w:val="00CB7B95"/>
    <w:rsid w:val="00CC4A6A"/>
    <w:rsid w:val="00CC4B18"/>
    <w:rsid w:val="00CC7F4E"/>
    <w:rsid w:val="00CD128B"/>
    <w:rsid w:val="00CD37BA"/>
    <w:rsid w:val="00CD5835"/>
    <w:rsid w:val="00CD622A"/>
    <w:rsid w:val="00CF1749"/>
    <w:rsid w:val="00CF5C21"/>
    <w:rsid w:val="00D014B9"/>
    <w:rsid w:val="00D1123B"/>
    <w:rsid w:val="00D160E9"/>
    <w:rsid w:val="00D228B0"/>
    <w:rsid w:val="00D24395"/>
    <w:rsid w:val="00D34753"/>
    <w:rsid w:val="00D42C3C"/>
    <w:rsid w:val="00D447F5"/>
    <w:rsid w:val="00D46F19"/>
    <w:rsid w:val="00D47FE1"/>
    <w:rsid w:val="00D5183B"/>
    <w:rsid w:val="00D55C52"/>
    <w:rsid w:val="00D55D37"/>
    <w:rsid w:val="00D56833"/>
    <w:rsid w:val="00D60675"/>
    <w:rsid w:val="00D709BB"/>
    <w:rsid w:val="00D7191A"/>
    <w:rsid w:val="00D74CE6"/>
    <w:rsid w:val="00D75153"/>
    <w:rsid w:val="00D76683"/>
    <w:rsid w:val="00D80AD5"/>
    <w:rsid w:val="00D9365D"/>
    <w:rsid w:val="00D93E83"/>
    <w:rsid w:val="00DA2764"/>
    <w:rsid w:val="00DB1F2D"/>
    <w:rsid w:val="00DB3610"/>
    <w:rsid w:val="00DC1417"/>
    <w:rsid w:val="00DC2B8D"/>
    <w:rsid w:val="00DC3049"/>
    <w:rsid w:val="00DD56D9"/>
    <w:rsid w:val="00DE51F4"/>
    <w:rsid w:val="00DE61F8"/>
    <w:rsid w:val="00DF0A6F"/>
    <w:rsid w:val="00DF1DF3"/>
    <w:rsid w:val="00E0076F"/>
    <w:rsid w:val="00E00E2D"/>
    <w:rsid w:val="00E026C4"/>
    <w:rsid w:val="00E12CF6"/>
    <w:rsid w:val="00E145D4"/>
    <w:rsid w:val="00E148AE"/>
    <w:rsid w:val="00E149FC"/>
    <w:rsid w:val="00E164C3"/>
    <w:rsid w:val="00E17B8A"/>
    <w:rsid w:val="00E202F2"/>
    <w:rsid w:val="00E25666"/>
    <w:rsid w:val="00E27A57"/>
    <w:rsid w:val="00E31F17"/>
    <w:rsid w:val="00E33811"/>
    <w:rsid w:val="00E34ADE"/>
    <w:rsid w:val="00E45F94"/>
    <w:rsid w:val="00E52B1B"/>
    <w:rsid w:val="00E545B2"/>
    <w:rsid w:val="00E5635E"/>
    <w:rsid w:val="00E56A6A"/>
    <w:rsid w:val="00E612BE"/>
    <w:rsid w:val="00E61A3B"/>
    <w:rsid w:val="00E61E90"/>
    <w:rsid w:val="00E63113"/>
    <w:rsid w:val="00E6756D"/>
    <w:rsid w:val="00E74385"/>
    <w:rsid w:val="00E77961"/>
    <w:rsid w:val="00E916F3"/>
    <w:rsid w:val="00E940D4"/>
    <w:rsid w:val="00E96CDE"/>
    <w:rsid w:val="00E97E19"/>
    <w:rsid w:val="00EA5E9E"/>
    <w:rsid w:val="00EA73DF"/>
    <w:rsid w:val="00EB1E6F"/>
    <w:rsid w:val="00EC5976"/>
    <w:rsid w:val="00EC616B"/>
    <w:rsid w:val="00EC7DAF"/>
    <w:rsid w:val="00EC7EC9"/>
    <w:rsid w:val="00ED0C74"/>
    <w:rsid w:val="00ED3771"/>
    <w:rsid w:val="00ED391D"/>
    <w:rsid w:val="00ED3CE9"/>
    <w:rsid w:val="00ED49EF"/>
    <w:rsid w:val="00EE5B62"/>
    <w:rsid w:val="00EE6AD9"/>
    <w:rsid w:val="00EF167A"/>
    <w:rsid w:val="00EF66B0"/>
    <w:rsid w:val="00EF77EF"/>
    <w:rsid w:val="00F004EE"/>
    <w:rsid w:val="00F0449A"/>
    <w:rsid w:val="00F103BF"/>
    <w:rsid w:val="00F1622E"/>
    <w:rsid w:val="00F23187"/>
    <w:rsid w:val="00F303AB"/>
    <w:rsid w:val="00F34626"/>
    <w:rsid w:val="00F466AC"/>
    <w:rsid w:val="00F52707"/>
    <w:rsid w:val="00F57D52"/>
    <w:rsid w:val="00F609CB"/>
    <w:rsid w:val="00F6249D"/>
    <w:rsid w:val="00F641A5"/>
    <w:rsid w:val="00F64A8D"/>
    <w:rsid w:val="00F6566F"/>
    <w:rsid w:val="00F67B69"/>
    <w:rsid w:val="00F71A91"/>
    <w:rsid w:val="00F71AA9"/>
    <w:rsid w:val="00F73FE1"/>
    <w:rsid w:val="00F75195"/>
    <w:rsid w:val="00F81FA4"/>
    <w:rsid w:val="00F84000"/>
    <w:rsid w:val="00F921CB"/>
    <w:rsid w:val="00FA03AA"/>
    <w:rsid w:val="00FA194B"/>
    <w:rsid w:val="00FA3024"/>
    <w:rsid w:val="00FA455F"/>
    <w:rsid w:val="00FA50CE"/>
    <w:rsid w:val="00FA7027"/>
    <w:rsid w:val="00FB0115"/>
    <w:rsid w:val="00FB4096"/>
    <w:rsid w:val="00FB56D6"/>
    <w:rsid w:val="00FB66F6"/>
    <w:rsid w:val="00FB706B"/>
    <w:rsid w:val="00FC078E"/>
    <w:rsid w:val="00FC0DAF"/>
    <w:rsid w:val="00FC2C0A"/>
    <w:rsid w:val="00FC2CBD"/>
    <w:rsid w:val="00FC64A3"/>
    <w:rsid w:val="00FE0D6D"/>
    <w:rsid w:val="00FE6D64"/>
    <w:rsid w:val="00FE6FD1"/>
    <w:rsid w:val="00FE74D8"/>
    <w:rsid w:val="00FF2786"/>
    <w:rsid w:val="00FF37D5"/>
    <w:rsid w:val="00FF4F1F"/>
    <w:rsid w:val="00FF5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3D1F3"/>
  <w15:docId w15:val="{523DAF4B-7E46-4082-8E4A-5B694DE9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3C25"/>
    <w:rPr>
      <w:sz w:val="24"/>
    </w:rPr>
  </w:style>
  <w:style w:type="paragraph" w:styleId="1">
    <w:name w:val="heading 1"/>
    <w:basedOn w:val="a"/>
    <w:next w:val="a"/>
    <w:qFormat/>
    <w:pPr>
      <w:keepNext/>
      <w:outlineLvl w:val="0"/>
    </w:pPr>
    <w:rPr>
      <w:rFonts w:ascii="Arial" w:hAnsi="Arial"/>
      <w:sz w:val="28"/>
    </w:rPr>
  </w:style>
  <w:style w:type="paragraph" w:styleId="2">
    <w:name w:val="heading 2"/>
    <w:basedOn w:val="a"/>
    <w:next w:val="a"/>
    <w:link w:val="20"/>
    <w:qFormat/>
    <w:pPr>
      <w:keepNext/>
      <w:jc w:val="center"/>
      <w:outlineLvl w:val="1"/>
    </w:pPr>
    <w:rPr>
      <w:rFonts w:ascii="Arial" w:hAnsi="Arial"/>
      <w:b/>
      <w:sz w:val="28"/>
    </w:rPr>
  </w:style>
  <w:style w:type="paragraph" w:styleId="3">
    <w:name w:val="heading 3"/>
    <w:basedOn w:val="a"/>
    <w:next w:val="a"/>
    <w:link w:val="30"/>
    <w:semiHidden/>
    <w:unhideWhenUsed/>
    <w:qFormat/>
    <w:rsid w:val="00083CE8"/>
    <w:pPr>
      <w:keepNext/>
      <w:spacing w:before="240" w:after="60"/>
      <w:outlineLvl w:val="2"/>
    </w:pPr>
    <w:rPr>
      <w:rFonts w:ascii="Cambria" w:hAnsi="Cambria"/>
      <w:b/>
      <w:bCs/>
      <w:sz w:val="26"/>
      <w:szCs w:val="26"/>
    </w:rPr>
  </w:style>
  <w:style w:type="paragraph" w:styleId="5">
    <w:name w:val="heading 5"/>
    <w:basedOn w:val="a"/>
    <w:next w:val="a"/>
    <w:link w:val="50"/>
    <w:unhideWhenUsed/>
    <w:qFormat/>
    <w:rsid w:val="00C858DD"/>
    <w:pPr>
      <w:spacing w:before="240" w:after="60"/>
      <w:outlineLvl w:val="4"/>
    </w:pPr>
    <w:rPr>
      <w:rFonts w:ascii="Calibri" w:hAnsi="Calibri"/>
      <w:b/>
      <w:bCs/>
      <w:i/>
      <w:iCs/>
      <w:sz w:val="26"/>
      <w:szCs w:val="26"/>
    </w:rPr>
  </w:style>
  <w:style w:type="paragraph" w:styleId="8">
    <w:name w:val="heading 8"/>
    <w:basedOn w:val="a"/>
    <w:next w:val="a"/>
    <w:link w:val="80"/>
    <w:qFormat/>
    <w:rsid w:val="00A1662D"/>
    <w:pPr>
      <w:spacing w:before="240" w:after="60"/>
      <w:outlineLvl w:val="7"/>
    </w:pPr>
    <w:rPr>
      <w:rFonts w:ascii="Calibri" w:hAnsi="Calibri"/>
      <w:i/>
      <w:iCs/>
      <w:szCs w:val="24"/>
    </w:rPr>
  </w:style>
  <w:style w:type="paragraph" w:styleId="9">
    <w:name w:val="heading 9"/>
    <w:basedOn w:val="a"/>
    <w:next w:val="a"/>
    <w:link w:val="90"/>
    <w:qFormat/>
    <w:rsid w:val="00EC597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rFonts w:ascii="Arial" w:hAnsi="Arial"/>
      <w:sz w:val="28"/>
    </w:rPr>
  </w:style>
  <w:style w:type="paragraph" w:styleId="a5">
    <w:name w:val="Body Text Indent"/>
    <w:basedOn w:val="a"/>
    <w:link w:val="a6"/>
    <w:pPr>
      <w:ind w:firstLine="720"/>
      <w:jc w:val="both"/>
    </w:pPr>
    <w:rPr>
      <w:rFonts w:ascii="Arial" w:hAnsi="Arial"/>
      <w:sz w:val="28"/>
    </w:rPr>
  </w:style>
  <w:style w:type="paragraph" w:styleId="a7">
    <w:name w:val="Title"/>
    <w:basedOn w:val="a"/>
    <w:qFormat/>
    <w:pPr>
      <w:jc w:val="center"/>
    </w:pPr>
    <w:rPr>
      <w:b/>
      <w:sz w:val="32"/>
    </w:rPr>
  </w:style>
  <w:style w:type="character" w:customStyle="1" w:styleId="80">
    <w:name w:val="Заголовок 8 Знак"/>
    <w:link w:val="8"/>
    <w:semiHidden/>
    <w:rsid w:val="00A1662D"/>
    <w:rPr>
      <w:rFonts w:ascii="Calibri" w:eastAsia="Times New Roman" w:hAnsi="Calibri" w:cs="Times New Roman"/>
      <w:i/>
      <w:iCs/>
      <w:sz w:val="24"/>
      <w:szCs w:val="24"/>
      <w:lang w:val="ru-RU" w:eastAsia="ru-RU"/>
    </w:rPr>
  </w:style>
  <w:style w:type="paragraph" w:styleId="21">
    <w:name w:val="Body Text 2"/>
    <w:basedOn w:val="a"/>
    <w:link w:val="22"/>
    <w:rsid w:val="00A1662D"/>
    <w:pPr>
      <w:spacing w:after="120" w:line="480" w:lineRule="auto"/>
    </w:pPr>
  </w:style>
  <w:style w:type="character" w:customStyle="1" w:styleId="22">
    <w:name w:val="Основной текст 2 Знак"/>
    <w:link w:val="21"/>
    <w:rsid w:val="00A1662D"/>
    <w:rPr>
      <w:sz w:val="24"/>
      <w:lang w:val="ru-RU" w:eastAsia="ru-RU"/>
    </w:rPr>
  </w:style>
  <w:style w:type="paragraph" w:customStyle="1" w:styleId="text12">
    <w:name w:val="text12"/>
    <w:rsid w:val="00A1662D"/>
    <w:pPr>
      <w:jc w:val="both"/>
    </w:pPr>
    <w:rPr>
      <w:rFonts w:ascii="Lazurski" w:hAnsi="Lazurski"/>
      <w:sz w:val="13"/>
    </w:rPr>
  </w:style>
  <w:style w:type="paragraph" w:customStyle="1" w:styleId="10">
    <w:name w:val="Стиль1"/>
    <w:basedOn w:val="a"/>
    <w:rsid w:val="00A1662D"/>
    <w:pPr>
      <w:spacing w:line="360" w:lineRule="auto"/>
      <w:jc w:val="both"/>
    </w:pPr>
    <w:rPr>
      <w:rFonts w:ascii="Courier New" w:hAnsi="Courier New"/>
      <w:lang w:val="en-US"/>
    </w:rPr>
  </w:style>
  <w:style w:type="paragraph" w:styleId="a8">
    <w:name w:val="Plain Text"/>
    <w:basedOn w:val="a"/>
    <w:link w:val="a9"/>
    <w:rsid w:val="00A1662D"/>
    <w:rPr>
      <w:rFonts w:ascii="Courier New" w:hAnsi="Courier New"/>
      <w:sz w:val="20"/>
    </w:rPr>
  </w:style>
  <w:style w:type="character" w:customStyle="1" w:styleId="a9">
    <w:name w:val="Текст Знак"/>
    <w:link w:val="a8"/>
    <w:rsid w:val="00A1662D"/>
    <w:rPr>
      <w:rFonts w:ascii="Courier New" w:hAnsi="Courier New"/>
      <w:lang w:val="ru-RU" w:eastAsia="ru-RU"/>
    </w:rPr>
  </w:style>
  <w:style w:type="paragraph" w:styleId="aa">
    <w:name w:val="Normal (Web)"/>
    <w:basedOn w:val="a"/>
    <w:uiPriority w:val="99"/>
    <w:unhideWhenUsed/>
    <w:rsid w:val="0021170D"/>
    <w:pPr>
      <w:spacing w:after="100" w:afterAutospacing="1"/>
    </w:pPr>
    <w:rPr>
      <w:color w:val="000000"/>
      <w:szCs w:val="24"/>
      <w:lang w:val="en-US" w:eastAsia="en-US"/>
    </w:rPr>
  </w:style>
  <w:style w:type="character" w:customStyle="1" w:styleId="20">
    <w:name w:val="Заголовок 2 Знак"/>
    <w:link w:val="2"/>
    <w:rsid w:val="00872A55"/>
    <w:rPr>
      <w:rFonts w:ascii="Arial" w:hAnsi="Arial"/>
      <w:b/>
      <w:sz w:val="28"/>
      <w:lang w:val="ru-RU" w:eastAsia="ru-RU"/>
    </w:rPr>
  </w:style>
  <w:style w:type="character" w:customStyle="1" w:styleId="FontStyle58">
    <w:name w:val="Font Style58"/>
    <w:rsid w:val="00872A55"/>
    <w:rPr>
      <w:rFonts w:ascii="Times New Roman" w:hAnsi="Times New Roman" w:cs="Times New Roman"/>
      <w:b/>
      <w:bCs/>
      <w:sz w:val="16"/>
      <w:szCs w:val="16"/>
    </w:rPr>
  </w:style>
  <w:style w:type="character" w:customStyle="1" w:styleId="FontStyle30">
    <w:name w:val="Font Style30"/>
    <w:uiPriority w:val="99"/>
    <w:rsid w:val="00872A55"/>
    <w:rPr>
      <w:rFonts w:ascii="Times New Roman" w:hAnsi="Times New Roman" w:cs="Times New Roman"/>
      <w:sz w:val="26"/>
      <w:szCs w:val="26"/>
    </w:rPr>
  </w:style>
  <w:style w:type="paragraph" w:styleId="31">
    <w:name w:val="Body Text 3"/>
    <w:basedOn w:val="a"/>
    <w:link w:val="32"/>
    <w:rsid w:val="00872A55"/>
    <w:pPr>
      <w:spacing w:after="120"/>
    </w:pPr>
    <w:rPr>
      <w:sz w:val="16"/>
      <w:szCs w:val="16"/>
    </w:rPr>
  </w:style>
  <w:style w:type="character" w:customStyle="1" w:styleId="32">
    <w:name w:val="Основной текст 3 Знак"/>
    <w:link w:val="31"/>
    <w:rsid w:val="00872A55"/>
    <w:rPr>
      <w:sz w:val="16"/>
      <w:szCs w:val="16"/>
      <w:lang w:val="ru-RU" w:eastAsia="ru-RU"/>
    </w:rPr>
  </w:style>
  <w:style w:type="character" w:styleId="ab">
    <w:name w:val="Hyperlink"/>
    <w:rsid w:val="00870F97"/>
    <w:rPr>
      <w:color w:val="0000FF"/>
      <w:u w:val="single"/>
    </w:rPr>
  </w:style>
  <w:style w:type="character" w:customStyle="1" w:styleId="90">
    <w:name w:val="Заголовок 9 Знак"/>
    <w:link w:val="9"/>
    <w:semiHidden/>
    <w:rsid w:val="00EC5976"/>
    <w:rPr>
      <w:rFonts w:ascii="Cambria" w:eastAsia="Times New Roman" w:hAnsi="Cambria" w:cs="Times New Roman"/>
      <w:sz w:val="22"/>
      <w:szCs w:val="22"/>
      <w:lang w:val="ru-RU" w:eastAsia="ru-RU"/>
    </w:rPr>
  </w:style>
  <w:style w:type="character" w:customStyle="1" w:styleId="a4">
    <w:name w:val="Основной текст Знак"/>
    <w:link w:val="a3"/>
    <w:rsid w:val="00257927"/>
    <w:rPr>
      <w:rFonts w:ascii="Arial" w:hAnsi="Arial"/>
      <w:sz w:val="28"/>
      <w:lang w:val="ru-RU" w:eastAsia="ru-RU"/>
    </w:rPr>
  </w:style>
  <w:style w:type="character" w:customStyle="1" w:styleId="50">
    <w:name w:val="Заголовок 5 Знак"/>
    <w:link w:val="5"/>
    <w:rsid w:val="00C858DD"/>
    <w:rPr>
      <w:rFonts w:ascii="Calibri" w:eastAsia="Times New Roman" w:hAnsi="Calibri" w:cs="Times New Roman"/>
      <w:b/>
      <w:bCs/>
      <w:i/>
      <w:iCs/>
      <w:sz w:val="26"/>
      <w:szCs w:val="26"/>
      <w:lang w:val="ru-RU" w:eastAsia="ru-RU"/>
    </w:rPr>
  </w:style>
  <w:style w:type="character" w:customStyle="1" w:styleId="s0">
    <w:name w:val="s0"/>
    <w:rsid w:val="00090D7D"/>
    <w:rPr>
      <w:rFonts w:ascii="Times New Roman" w:hAnsi="Times New Roman" w:cs="Times New Roman"/>
      <w:b w:val="0"/>
      <w:bCs w:val="0"/>
      <w:i w:val="0"/>
      <w:iCs w:val="0"/>
      <w:strike w:val="0"/>
      <w:dstrike w:val="0"/>
      <w:color w:val="000000"/>
      <w:sz w:val="22"/>
      <w:szCs w:val="22"/>
      <w:u w:val="none"/>
    </w:rPr>
  </w:style>
  <w:style w:type="character" w:customStyle="1" w:styleId="a6">
    <w:name w:val="Основной текст с отступом Знак"/>
    <w:link w:val="a5"/>
    <w:rsid w:val="00125EB6"/>
    <w:rPr>
      <w:rFonts w:ascii="Arial" w:hAnsi="Arial"/>
      <w:sz w:val="28"/>
      <w:lang w:val="ru-RU" w:eastAsia="ru-RU"/>
    </w:rPr>
  </w:style>
  <w:style w:type="paragraph" w:styleId="23">
    <w:name w:val="Body Text Indent 2"/>
    <w:basedOn w:val="a"/>
    <w:link w:val="24"/>
    <w:rsid w:val="00125EB6"/>
    <w:pPr>
      <w:spacing w:after="120" w:line="480" w:lineRule="auto"/>
      <w:ind w:left="360"/>
    </w:pPr>
  </w:style>
  <w:style w:type="character" w:customStyle="1" w:styleId="24">
    <w:name w:val="Основной текст с отступом 2 Знак"/>
    <w:link w:val="23"/>
    <w:rsid w:val="00125EB6"/>
    <w:rPr>
      <w:sz w:val="24"/>
      <w:lang w:val="ru-RU" w:eastAsia="ru-RU"/>
    </w:rPr>
  </w:style>
  <w:style w:type="character" w:customStyle="1" w:styleId="30">
    <w:name w:val="Заголовок 3 Знак"/>
    <w:link w:val="3"/>
    <w:rsid w:val="00083CE8"/>
    <w:rPr>
      <w:rFonts w:ascii="Cambria" w:eastAsia="Times New Roman" w:hAnsi="Cambria" w:cs="Times New Roman"/>
      <w:b/>
      <w:bCs/>
      <w:sz w:val="26"/>
      <w:szCs w:val="26"/>
    </w:rPr>
  </w:style>
  <w:style w:type="character" w:customStyle="1" w:styleId="FontStyle13">
    <w:name w:val="Font Style13"/>
    <w:rsid w:val="00083CE8"/>
    <w:rPr>
      <w:rFonts w:ascii="Times New Roman" w:hAnsi="Times New Roman" w:cs="Times New Roman"/>
      <w:sz w:val="26"/>
      <w:szCs w:val="26"/>
    </w:rPr>
  </w:style>
  <w:style w:type="character" w:customStyle="1" w:styleId="hps">
    <w:name w:val="hps"/>
    <w:basedOn w:val="a0"/>
    <w:rsid w:val="00E61E90"/>
  </w:style>
  <w:style w:type="paragraph" w:customStyle="1" w:styleId="Style1">
    <w:name w:val="Style1"/>
    <w:basedOn w:val="a"/>
    <w:rsid w:val="005A5B31"/>
    <w:pPr>
      <w:tabs>
        <w:tab w:val="left" w:pos="567"/>
      </w:tabs>
      <w:jc w:val="both"/>
    </w:pPr>
    <w:rPr>
      <w:rFonts w:ascii="Helvetica" w:hAnsi="Helvetica"/>
      <w:b/>
      <w:lang w:val="en-GB" w:eastAsia="en-US"/>
    </w:rPr>
  </w:style>
  <w:style w:type="paragraph" w:customStyle="1" w:styleId="Style3">
    <w:name w:val="Style3"/>
    <w:basedOn w:val="a"/>
    <w:rsid w:val="005A5B31"/>
    <w:pPr>
      <w:tabs>
        <w:tab w:val="left" w:pos="567"/>
      </w:tabs>
      <w:spacing w:before="120"/>
      <w:ind w:left="567"/>
      <w:jc w:val="both"/>
    </w:pPr>
    <w:rPr>
      <w:rFonts w:ascii="Helvetica" w:hAnsi="Helvetica"/>
      <w:lang w:val="en-GB" w:eastAsia="en-US"/>
    </w:rPr>
  </w:style>
  <w:style w:type="paragraph" w:customStyle="1" w:styleId="Style4">
    <w:name w:val="Style4"/>
    <w:basedOn w:val="a"/>
    <w:rsid w:val="005A5B31"/>
    <w:pPr>
      <w:widowControl w:val="0"/>
      <w:autoSpaceDE w:val="0"/>
      <w:autoSpaceDN w:val="0"/>
      <w:adjustRightInd w:val="0"/>
      <w:spacing w:line="326" w:lineRule="exact"/>
    </w:pPr>
    <w:rPr>
      <w:szCs w:val="24"/>
    </w:rPr>
  </w:style>
  <w:style w:type="paragraph" w:customStyle="1" w:styleId="BodyTextKeep">
    <w:name w:val="Body Text Keep"/>
    <w:basedOn w:val="a3"/>
    <w:rsid w:val="00BB518B"/>
    <w:pPr>
      <w:keepNext/>
      <w:spacing w:after="160" w:line="220" w:lineRule="atLeast"/>
    </w:pPr>
    <w:rPr>
      <w:rFonts w:ascii="Times New Roman" w:hAnsi="Times New Roman"/>
      <w:sz w:val="24"/>
      <w:lang w:val="en-GB" w:eastAsia="en-US"/>
    </w:rPr>
  </w:style>
  <w:style w:type="paragraph" w:customStyle="1" w:styleId="ac">
    <w:name w:val="Нижний колонтитул?/|."/>
    <w:basedOn w:val="a"/>
    <w:rsid w:val="00F73FE1"/>
    <w:pPr>
      <w:widowControl w:val="0"/>
      <w:tabs>
        <w:tab w:val="center" w:pos="4536"/>
        <w:tab w:val="right" w:pos="9072"/>
      </w:tabs>
    </w:pPr>
    <w:rPr>
      <w:sz w:val="20"/>
    </w:rPr>
  </w:style>
  <w:style w:type="paragraph" w:styleId="ad">
    <w:name w:val="header"/>
    <w:basedOn w:val="a"/>
    <w:link w:val="ae"/>
    <w:rsid w:val="003F5BF6"/>
    <w:pPr>
      <w:tabs>
        <w:tab w:val="center" w:pos="4677"/>
        <w:tab w:val="right" w:pos="9355"/>
      </w:tabs>
    </w:pPr>
  </w:style>
  <w:style w:type="character" w:customStyle="1" w:styleId="ae">
    <w:name w:val="Верхний колонтитул Знак"/>
    <w:basedOn w:val="a0"/>
    <w:link w:val="ad"/>
    <w:rsid w:val="003F5BF6"/>
    <w:rPr>
      <w:sz w:val="24"/>
    </w:rPr>
  </w:style>
  <w:style w:type="table" w:styleId="af">
    <w:name w:val="Table Grid"/>
    <w:basedOn w:val="a1"/>
    <w:rsid w:val="00736D3B"/>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F81FA4"/>
    <w:pPr>
      <w:ind w:left="720"/>
      <w:contextualSpacing/>
    </w:pPr>
  </w:style>
  <w:style w:type="character" w:customStyle="1" w:styleId="11">
    <w:name w:val="Неразрешенное упоминание1"/>
    <w:basedOn w:val="a0"/>
    <w:uiPriority w:val="99"/>
    <w:semiHidden/>
    <w:unhideWhenUsed/>
    <w:rsid w:val="00796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and@glandpharma.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dda.k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harmacovigilance@rogerspharma.k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office.secretary@rogersgroup.in" TargetMode="External"/><Relationship Id="rId4" Type="http://schemas.openxmlformats.org/officeDocument/2006/relationships/webSettings" Target="webSettings.xml"/><Relationship Id="rId9" Type="http://schemas.openxmlformats.org/officeDocument/2006/relationships/hyperlink" Target="mailto:office.secretary@rogersgroup.in"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22</Pages>
  <Words>6818</Words>
  <Characters>38866</Characters>
  <Application>Microsoft Office Word</Application>
  <DocSecurity>0</DocSecurity>
  <Lines>323</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Об утверждении Правил по составлению текста</vt:lpstr>
      <vt:lpstr>Об утверждении Правил по составлению текста</vt:lpstr>
    </vt:vector>
  </TitlesOfParts>
  <Company>Dari-Darmek</Company>
  <LinksUpToDate>false</LinksUpToDate>
  <CharactersWithSpaces>45593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Правил по составлению текста</dc:title>
  <dc:creator>user</dc:creator>
  <cp:lastModifiedBy>Praveen Kanumuru</cp:lastModifiedBy>
  <cp:revision>72</cp:revision>
  <cp:lastPrinted>2014-02-20T11:42:00Z</cp:lastPrinted>
  <dcterms:created xsi:type="dcterms:W3CDTF">2020-05-20T06:26:00Z</dcterms:created>
  <dcterms:modified xsi:type="dcterms:W3CDTF">2025-05-14T12:41:00Z</dcterms:modified>
</cp:coreProperties>
</file>